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兴银理财兴承恒享开放式1号净值型理财产品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兴银理财兴承恒享开放式1号净值型理财产品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9D210010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1,058,570,530.04份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9D21001A：沪深300指数收益率×25%+中债-新综合全价(1年以下)指数收益率×75%/--</w:t>
              <w:br/>
              <w:t xml:space="preserve">  9D21001B：沪深300指数收益率×25%+中债-新综合全价(1年以下)指数收益率×75%/--</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兴银兴承恒享1号开放式A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484,032,250.03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兴银兴承恒享1号开放式B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574,538,280.01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产品9D21001A自成立日以来，累计净值增长率为-2.4180%，年化累计净值增长率为-1.1315%。</w:t>
              <w:br/>
              <w:t xml:space="preserve">产品9D21001B自成立日以来，累计净值增长率为-2.0170%，年化累计净值增长率为-0.9439%。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1,035,280,434.72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0.97582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0.97582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472,329,799.06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562,950,635.66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吕承应女士，北京大学统计学学士、经济学双学士，北京大学经济学硕士、新加坡国立大学金融工程硕士，2017年加入兴业银行，具有6年FOF/MOM投资研究经验。现任兴银理财权益投资经理。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以来，市场主要交易经济复苏与政策鼓励的发展方向，重视安全与效率。在复苏斜率、复苏高度与复苏路径等判断上市场仍存在分歧。基于对政策的解读，安全领域是近期交易的热点，加上数字经济、数字要素、ChatGPT等主题性事件的催化，TMT方向有一定交易升温。</w:t>
              <w:br/>
              <w:t xml:space="preserve">    特别二季度以来A股市场围绕中特估与AI展开。进入6月，指数低位震荡，板块两级分化。虽然国内经济增长动能有所放缓，但市场对于高质量发展还是有共识，对顺周期板块交易热度不高。特别在6月中上旬，AI与AI+在消息面利好下出现较大幅度的上涨,但到下旬随着板块交易拥挤度达到高位，叠加部分公司股东减持及中报业绩不佳的影</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响，以及对国外可能出台芯片出口限制的担忧加剧，板块出现显著回调。资金阶段性回流部分低位的价值蓝筹，如白酒、家电、汽车等。</w:t>
              <w:br/>
              <w:t xml:space="preserve">    展望未来，经济复苏偏弱已经被市场较为充分定价，随着后续政策托底和经济持续修复，中长期市场有望震荡上行。在国内经济弱复苏的情况下，结构上相对看好中期维度有产业趋势爆发的泛TMT、基本面稳健的医药以及部分价值股的投资机会。同时在持仓市值方面考虑做更深维度的均衡，补充配置部分小市值品种。</w:t>
              <w:br/>
              <w:t xml:space="preserve">    行业方面，需根据市场情况做高低切换与调整，力求组合整体估值动态保持合理水平，1、重点关注自主可控与高端制造这类具有中长期维度的结构性机会。2、关注科技成长机会，虽板块近期情绪较热，但考虑到产业发生较大变化，中长期维度存在机会，积极选择注重安全边际、个股研究深度与高频跟踪、操作较灵活的产品，整体维持逆向操作。3、看好估值较为合理、基本面较为稳健、有疫后复苏逻辑的医药消费板块。4、关注港股、红利低波类资产以及与经济复苏相关性较高的价值周期板块。</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150,117,904.93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49,016,684.59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光大优1（光大银行优先股）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43,804,249.66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20,926,750.68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鹏华丰恒债券型证券投资基金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20,040,662.94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富国景利纯债债券型发起式证券投资基金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20,022,427.46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20,016,289.89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华泰柏瑞富利C 014597.OF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17,445,655.69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融通成长30C 014106.OF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15,906,173.63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招商优势企业灵活配置混合型证券投资基金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15,535,905.34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兴银理财兴承恒享开放式1号净值型理财产品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兴银理财兴承恒享开放式1号净值型理财产品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051010100101198641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兴银理财兴承恒享开放式1号净值型理财产品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