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兴银理财兴承恒享5号开放式净值型理财产品2023年半年度报告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兴银理财兴承恒享5号开放式净值型理财产品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兴银理财兴承恒享5号开放式净值型理财产品2023年半年度报告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兴银理财兴承恒享5号开放式净值型理财产品2023年半年度报告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兴银理财兴承恒享5号开放式净值型理财产品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9D210050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Z7002021000183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822,506,498.71份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9D21005A：--/6.00%</w:t>
              <w:br/>
              <w:t xml:space="preserve">  9D21005B：--/6.00%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兴银兴承恒享5号开放式A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9D21005A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324,499,258.51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兴银兴承恒享5号开放式B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9D21005B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498,007,240.20</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兴银理财兴承恒享5号开放式净值型理财产品2023年半年度报告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产品9D21005A自成立日以来，累计净值增长率为-3.4330%，年化累计净值增长率为-2.2537%。</w:t>
              <w:br/>
              <w:t xml:space="preserve">产品9D21005B自成立日以来，累计净值增长率为-3.1470%，年化累计净值增长率为-2.0659%。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795,695,898.41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0.96567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0.96567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313,359,667.20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0.96853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0.96853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482,336,231.21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吴为先生，西南财经大学数学、经济学双学士，新南威尔士大学精算硕士，FRM。19年加入兴银理财，曾任兴业研究基金研究员，7年金融从业经验。现任兴银理财权益部投资经理。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一季度A股市场主要围绕“复苏交易”与科技主题展开。春节之前，市场延续去年四季度以来的复苏交易，春节之后，市场转向科技主线，背景是国内淡化增速目标以及海外紧缩加速。二季度A股市场主要围绕“中特+”与“AI+”展开。“中特+”主要是对一季报与一带一路的定价，而科技行情贯穿上半年，主要来自国内外AI产业超预期热度以及消息面不断的催化。进入6月，指数低位震荡，板块两级分化。</w:t>
              <w:br/>
              <w:t xml:space="preserve">    当前对权益市场积极乐观，目前权益仓位已接近上限。目前在行业结构上，TMT维持较高仓位，6月主要增加了顺周期品种，包括上游资源石化非银新能源等，同时增加指数ETF仓位，当前时点指数大概率处于底部，下半年对经济自然复苏确定性也较高，但若指数一蹴而就反弹会对仓位有所控制，中枢缓慢上移会保持满仓状态。结构上各行业均有机会，但像上半年AI的大行情机会目前并未发现。继续保持结构轮动敏感性。预计下半年维持较高仓位，波动较过去一年会增加，但对预期收益率相对更乐观。</w:t>
            </w:r>
          </w:p>
        </w:tc>
        <w:tc>
          <w:tcPr>
     </w:tcPr>
          <w:p>
            <w:pPr>
              <w:pStyle w:val="EMPTY_CELL_STYLE"/>
            </w:pPr>
          </w:p>
        </w:tc>
        <w:tc>
          <w:tcPr>
     </w:tcPr>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兴银理财兴承恒享5号开放式净值型理财产品2023年半年度报告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兴银理财兴承恒享5号开放式净值型理财产品2023年半年度报告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招商招祥纯债债券型证券投资基金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20,531,069.59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鹏华丰享债券型证券投资基金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20,517,000.00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交银施罗德裕隆纯债债券型证券投资基金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20,509,870.65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招商招坤纯债债券型证券投资基金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20,507,176.58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20,459,852.28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华泰柏瑞季季红债券型证券投资基金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20,415,606.39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鹏华丰瑞债券型证券投资基金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20,398,185.60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20,379,709.82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易方达投资级信用债债券型证券投资基金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20,332,609.31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万家鑫璟纯债债券型证券投资基金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20,324,771.03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兴银理财兴承恒享5号开放式净值型理财产品2023年半年度报告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兴银理财兴承恒享5号开放式净值型理财产品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兴业研究精选（010460.OF）</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兴业医疗保健混合型证券投资基金</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兴银理财兴承恒享5号开放式净值型理财产品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051010100101251178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兴银理财兴承恒享5号开放式净值型理财产品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