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兴银理财兴承恒享新盈1号净值型理财产品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兴银理财兴承恒享新盈1号净值型理财产品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9D310010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500,915,464.6份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9D31001A：4.00%/4.00%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新盈1号A（兴飞跃私行专属款）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9D31001A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500,915,464.60</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产品9D31001A自成立日以来，累计净值增长率为5.8320%，年化累计净值增长率为3.4445%。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509,369,038.60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509,369,038.60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95%固收+5%衍生品套利策略。产品目前久期1.1年，杠杆120%。二季度产品运行较为稳健，目前随着债券价格的反弹，产品收益也逐步稳定。同时，产品中加入少量股债风险平价和转债策略，截止6月底也取得了预期内的收益。展望后市，目前市场仍然处于复苏的初期。利率反映了短期内经济回暖节奏偏慢。产品配置角度上，债券以1.5年高收益信用债为主，兼顾收益和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3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21连交01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20,711,962.74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21广发13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20,641,248.77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22泉州水务SCP001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20,276,445.75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21灵山GN001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17,227,413.74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22浙商集团ABN001优先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16,794,742.19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21漳州交运PPN003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15,349,688.99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14,341,940.45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20宜管廊</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10,770,007.81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23漳龙01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10,645,945.34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21润城资产PPN004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10,560,273.56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2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21福清国资MTN001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21漳州交运PPN003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22江北新区PPN001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22泉州水务SCP001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22湛江交投MTN001A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48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051010100101268372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