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兴银理财兴承恒享新盈2号净值型理财产品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兴银理财兴承恒享新盈2号净值型理财产品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9D310020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Z7002021000256</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207,052,694.25份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9D31002A：3.70%/3.70%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新盈私享2号（兴飞跃款）A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9D31002A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207,052,694.25</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产品9D31002A自成立日以来，累计净值增长率为5.3610%，年化累计净值增长率为3.4329%。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211,680,197.63</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211,680,197.63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为95%固收+5%衍生品套利策略。产品目前久期1.3年，杠杆130%。二季度产品运行较为稳健，目前随着债券价格的反弹，产品收益也逐步稳定。同时，产品中加入少量股债风险平价和转债策略，截止6月底也取得了预期内的收益。展望后市，目前市场仍然处于复苏的初期。利率反映了短期内经济回暖节奏偏慢。产品配置角度上，债券以1.5年高收益信用债为主，兼顾收益和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3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20中石油MTN002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14,727,365.78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21潞安MTN001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10,439,872.05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20徐金开</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10,378,886.44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10,347,097.53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19川能投MTN002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10,309,788.63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22泰交通PPN001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10,250,297.26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22鲲鹏资本MTN001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8,093,447.67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18舟山旅游MTN002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6,333,867.12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21常城07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6,172,454.06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22长江03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6,115,720.03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72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22电建地产PPN001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22福建旅游MTN001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22江东控股MTN002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22青岛西海SCP003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22特变电工MTN001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23华光环保SCP004(转型碳资产)</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42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兴银理财兴承恒享新盈2号净值型理财产品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兴银理财兴承恒享新盈2号净值型理财产品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051010100101308027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兴银理财兴承恒享新盈2号净值型理财产品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0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