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兴银理财兴承恒享新盈3号净值型理财产品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兴银理财兴承恒享新盈3号净值型理财产品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9D310030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104,089,030.68份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9D31003A：3.70%/3.70%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新盈私享3号（兴飞跃款）A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9D31003A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104,089,030.68</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产品9D31003A自成立日以来，累计净值增长率为3.8500%，年化累计净值增长率为2.9460%。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105,550,124.32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105,550,124.32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95%固收+5%衍生品套利策略。产品目前久期1.3年，杠杆130%。二季度产品运行较为稳健，目前随着债券价格的反弹，产品收益也逐步稳定。同时，产品中加入少量股债风险平价和转债策略，截止6月底也取得了预期内的收益。展望后市，目前市场仍然处于复苏的初期。利率反映了短期内经济回暖节奏偏慢。产品配置角度上，债券以1.5年高收益信用债为主，兼顾收益和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5,166,209.59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4,249,463.84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21十堰国投PPN003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4,160,069.92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4,138,839.01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4,134,731.56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21宜春02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4,057,342.52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4,016,286.66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22远东租赁MTN003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3,984,686.21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3,603,515.95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3,476,223.85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22桂交投MTN004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22江北新区PPN001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051010100101308140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兴银理财兴承恒享新盈3号净值型理财产品</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