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兴银理财兴承恒享睿动新趋势1号净值型理财产品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兴银理财兴承恒享睿动新趋势1号净值型理财产品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9D411010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385,559,218.07份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9D41101A：3.50%--7.00%/7.00%</w:t>
              <w:br/>
              <w:t xml:space="preserve">  9D41101B：3.50%--7.00%/7.00%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192,633,402.18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192,925,815.89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产品9D41101A自成立日以来，累计净值增长率为0.5970%，年化累计净值增长率为0.3738%。</w:t>
              <w:br/>
              <w:t xml:space="preserve">产品9D41101B自成立日以来，累计净值增长率为0.7450%，年化累计净值增长率为0.4664%。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388,146,096.09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193,783,126.33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194,362,969.76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21,341,847.57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20,287,490.82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19武纾01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20,259,056.44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申万宏源集团股份有限公司2018年面向合格投资者公开发行公司债券(第一期)(品种二)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18,615,315.89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中海企业发展集团有限公司2021年面向专业投资者公开发行公司债券(第三期)(品种二)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18,574,974.96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上海陆家嘴金融贸易区开发股份有限公司2021年度第二期中期票据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18,077,181.81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2020年第二期深圳市地铁集团有限公司公司债券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11,009,448.23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中海企业发展集团有限公司2021年面向专业投资者公开发行公司债券(第三期)(品种一)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10,933,019.71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中海地产集团有限公司2019年面向合格投资者公开发行公司债券(第一期)(品种二)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10,911,373.01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10,251,685.48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23吴江经开MTN001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051010100101299535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