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兴银理财丰利悦动稳享封闭式8号固收类理财产品2023年半年度报告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兴银理财丰利悦动稳享封闭式8号固收类理财产品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兴银理财丰利悦动稳享封闭式8号固收类理财产品2023年半年度报告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兴银理财丰利悦动稳享封闭式8号固收类理财产品2023年半年度报告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兴银理财丰利悦动稳享封闭式8号固收类理财产品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9A279080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Z7002023000218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118,217,468.47份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3.45%--3.75%/--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兴银理财丰利悦动稳享封闭式8号固收类理财产品2023年半年度报告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产品9A279080自成立日以来，累计净值增长率为1.0870%，年化累计净值增长率为4.3126%。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1.01087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1.01087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119,502,547.79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150%固收。产品目前久期1.5年，杠杆150%。二季度产品运行较为稳健，目前随着债券价格的反弹，产品收益较为稳定。展望后市，目前市场仍然处于复苏的初期。利率反映了短期内经济回暖节奏偏慢。产品配置角度上，债券以1.5年高收益信用债为主，兼顾收益和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兴银理财丰利悦动稳享封闭式8号固收类理财产品2023年半年度报告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大家资产-万科1号资产支持计划第1期（深圳分行）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21,160,877.13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2023蚂蚁消金0021（福嘉2023年第三期）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11,073,574.88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2023蚂蚁消金0019（2023澄朗5期）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10,065,421.93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【粤财信托·瑞兴49号】集合资金信托计划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10,010,681.34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5,642,292.16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兴银理财丰利悦动稳享封闭式8号固收类理财产品2023年半年度报告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5,195,160.21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5,168,414.45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21江宁科学PPN001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5,166,051.85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5,074,089.18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5,059,223.97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6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22百业源MTN002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23肥西城乡MTN001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23光谷金控MTN001(科创票据)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23望城经开MTN001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兴银理财丰利悦动稳享封闭式8号固收类理财产品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兴银理财丰利悦动稳享封闭式8号固收类理财产品2023年半年度报告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051010100101572967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兴银理财丰利悦动稳享封闭式8号固收类理财产品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