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兴银理财兴合汇景2号混合类净值型理财产品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兴银理财兴合汇景2号混合类净值型理财产品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9K202210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35,202,804.02份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9K20221A：3.00%--7.00%/--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兴银兴合汇景2号A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9K20221A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35,202,804.02</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产品9K20221A自成立日以来，累计净值增长率为1.3890%，年化累计净值增长率为0.9494%。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35,691,938.77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35,691,938.77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吕承应女士，北京大学统计学学士、经济学双学士，北京大学经济学硕士、新加坡国立大学金融工程硕士，2017年加入兴业银行，具有6年FOF/MOM投资研究经验。现任兴银理财权益投资经理。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就基本面来看，国内最新一期LPR如期迎来下调，有望推动居民储蓄向消费、投资领域转移，也有助于降低购房成本，稳定房地产销售、刺激投资回暖。海外，美联储加息进程暂停，海外流动性短期得到释放。但扰动因素仍在，鲍威尔连续放鹰，同时美国制造业PMI回落，表明经济仍在放缓，市场衰退预期再次增强。市场结构方面，虽然国内经济增长动能有所放缓，但市场对于当前“高质量发展”的共识更强，对顺周期板块的热情依然不高。6月中上旬，“AI+”在消息面利好作用下出现“逼空”式上涨,但下旬开始，随着板块交易拥挤度达到高位，叠加部分公司股东减持及提示中报下滑风险，以及市场对国外可能出台芯片出口限制的担忧加剧，AI+板块出现显著回调。与此同时，部分低位的价值蓝筹也开始获得资金关注，比如白酒、家电、汽车等。 </w:t>
              <w:br/>
              <w:t xml:space="preserve">    展望来看，经济复苏偏弱已经被市场较为充分地定价，目前市场整体估值吸引力已经比较大，预计随着后续政策的托底和经济的持续修复，中期市场有望延续震荡上行趋势。整体来看，疫情三年来对居民资产负债表和企业家信心带来影响，恢复需要一个过程。而且国内经济正处于投资、负债拉动型向创新、消费转型的过渡阶段，转型期的阵痛必然存在。与财政、出口，地产等对经济的影响相比，消费对经济的拉动慢但持续，在房地产缺席的情况下仍需对经济复苏保持信心和耐心。往前看，短期重点关注估值已跌至历史低位的一些顺周期蓝筹，包括医药生物、机械设备和上游资源品等，以及科技板块的超跌反弹。中期保持对“中特+”及“数字经济+”两大主线的关注，在下跌的品种中寻找确定性和性价比。长期依然重点布局于20大指向的长期趋势。</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2,500,500.22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2,042,874.73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1,021,195.37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招商招悦纯债债券型证券投资基金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1,019,859.43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1,015,734.65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1,014,708.68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1,013,083.41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1,012,779.76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兴银理财兴合汇景2号混合类净值型理财产品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兴银理财兴合汇景2号混合类净值型理财产品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