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兴银理财悦动(1年最短持有期)日开2号固收类理财产品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兴银理财悦动(1年最短持有期)日开2号固收类理财产品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Z7002022000116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103,663,664.37份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9K21002A：3.20%--4.20%/--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丰利悦动1年持有2号A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103,663,664.37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产品9K21002A自成立日以来，累计净值增长率为1.7400%，年化累计净值增长率为3.0681%。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105,467,748.62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105,467,748.62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8,000,898.63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6,003,739.75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6,003,739.75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5,006,575.40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5,002,773.95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4,302,167.68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