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1,700,000,000份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9K212113：个人定期(整存整取)一年+2.75%/4.25%</w:t>
              <w:br/>
              <w:t xml:space="preserve">  9K212213：个人定期(整存整取)一年+2.75%/4.25%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产品9K212113自成立日以来，累计净值增长率为12.3060%，年化累计净值增长率为3.8588%。</w:t>
              <w:br/>
              <w:t xml:space="preserve">产品9K212213自成立日以来，累计净值增长率为12.2240%，年化累计净值增长率为3.8331%。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1,780,728,007.02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1,047,487,061.90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733,240,945.12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22济南城建MTN003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113,023,874.76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110,118,351.82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104,867,128.50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96,159,922.01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15投资01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92,332,743.29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90,881,558.81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22成都环境MTN001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74,187,337.07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23华综01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60,874,118.88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22鲁能源MTN005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60,788,886.21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60,210,824.00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22佛公用MTN001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22广新控股MTN002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22武商贸集MTN001(科创票据)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23济南高新PPN003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23宁夏国资MTN001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