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兴银理财睿利稳健十四个月定期开放2号增强型固收类理财产品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兴银理财睿利稳健十四个月定期开放2号增强型固收类理财产品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26,112,413.15份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9K91902A：3.50%--5.50%/5.50%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26,112,413.15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产品9K91902A自成立日以来，累计净值增长率为1.7120%，年化累计净值增长率为2.2723%。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26,559,416.12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26,559,416.12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2,042,361.86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1,503,656.75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1,012,468.66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1,008,076.52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1,006,408.16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永赢瑞益债券型证券投资基金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1,004,465.65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