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兴银理财睿利稳健十四个月定期开放3号增强型固收类理财产品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兴银理财睿利稳健十四个月定期开放3号增强型固收类理财产品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32,009,262.61份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9K91903A：3.50%--5.50%/5.50%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32,009,262.61</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产品9K91903A自成立日以来，累计净值增长率为1.4130%，年化累计净值增长率为2.1489%。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32,461,496.22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32,461,496.22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坚持绝对收益策略，先为不败而后求胜，强调安全边际和逆向投资，在风险预算管理的前提下进行仓位管理，选择赔率足够和性价比高的投资方向。下半年，看好高质量发展的主攻方向，包括受益于政策环境、具备市场竞争力的高端制造和科技成长等板块，同时保持组合整体平衡性，注重止盈止损和波段操作。</w:t>
              <w:br/>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2,042,361.86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1,013,426.74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永赢瑞益债券型证券投资基金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1,005,292.52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1,004,911.77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1,004,705.97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嘉实稳和6个月持有期纯债债券型证券投资基金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1,003,633.91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1,000,261.78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999,423.54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995,582.66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兴全恒裕债券型证券投资基金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991,849.65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兴银理财睿利稳健十四个月定期开放3号增强型固收类理财产品2023年半年度报告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兴银理财睿利稳健十四个月定期开放3号增强型固收类理财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兴银理财睿利稳健十四个月定期开放3号增强型固收类理财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051010100101489066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兴银理财睿利稳健十四个月定期开放3号增强型固收类理财产品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