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兴银理财睿利稳健十四个月定期开放4号增强型固收类理财产品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兴银理财睿利稳健十四个月定期开放4号增强型固收类理财产品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Z7002022000722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13,878,025.78份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9K91904A：3.50%--5.50%/5.50%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13,878,025.78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产品9K91904A自成立日以来，累计净值增长率为1.3260%，年化累计净值增长率为2.3609%。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14,062,094.67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14,062,094.67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br/>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2,554,231.35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2,522,372.19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1,010,487.69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1,009,561.51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华安安浦债券型证券投资基金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1,009,400.01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1,009,367.71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1,009,330.48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嘉实稳和6个月持有期纯债债券型证券投资基金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1,000,362.39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988,849.06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503,513.64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兴银理财睿利稳健十四个月定期开放4号增强型固收类理财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兴银理财睿利稳健十四个月定期开放4号增强型固收类理财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051010100101513198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兴银理财睿利稳健十四个月定期开放4号增强型固收类理财产品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