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兴银理财稳添利日盈增利4号日开固收类理财产品2023年半年度报告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兴银理财稳添利日盈增利4号日开固收类理财产品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兴银理财稳添利日盈增利4号日开固收类理财产品2023年半年度报告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兴银理财稳添利日盈增利4号日开固收类理财产品2023年半年度报告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兴银理财稳添利日盈增利4号日开固收类理财产品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8,561,856,128.48份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9K92104A：2.62%--3.02%/--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稳添利日盈增利添享4号A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8,561,856,128.48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兴银理财稳添利日盈增利4号日开固收类理财产品2023年半年度报告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产品9K92104A自成立日以来，累计净值增长率为1.0300%，年化累计净值增长率为2.9371%。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8,650,028,904.21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8,650,028,904.21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              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组合配置，严控组合久期，在保证组合流</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兴银理财稳添利日盈增利4号日开固收类理财产品2023年半年度报告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动性安全和严控回撤的前提下积极把握市场机会。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兴银理财稳添利日盈增利4号日开固收类理财产品2023年半年度报告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定期存款20230310005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444,113,801.54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327,435,575.15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上海银行大额存单20210226001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324,667,060.08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272,585,488.66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219,335,142.87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218,579,601.14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217,361,513.31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217,361,513.31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201,679,672.91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定期存款20230329006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201,595,366.50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兴银理财稳添利日盈增利4号日开固收类理财产品2023年半年度报告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23津城建CP002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23象屿股1ABN001优先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兴银理财稳添利日盈增利4号日开固收类理财产品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兴银理财稳添利日盈增利4号日开固收类理财产品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051010100101561425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兴银理财稳添利日盈增利4号日开固收类理财产品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