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天天万利宝稳利1号净值型理财产品H款2023年半年度报告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天天万利宝稳利1号净值型理财产品H款</w:t>
              <w:br/>
              <w:t xml:space="preserve">2023年半年度报告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报告送出日期：2023年9月22日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天天万利宝稳利1号净值型理财产品H款2023年半年度报告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740"/>
        <w:gridCol w:w="1260"/>
        <w:gridCol w:w="2000"/>
        <w:gridCol w:w="3300"/>
        <w:gridCol w:w="2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天天万利宝稳利1号净值型理财产品H款2023年半年度报告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天天万利宝稳利1号净值型理财产品H款</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9K218018</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Z7002020000012</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7,617,447,788.94份</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业绩比较基准¹/业绩报酬计提基准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9K218018：3.05%--4.20%/4.20%</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稳利恒盈H 12个月</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9K218018（适用【A】份额）</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7,617,447,788.94</w:t>
                        </w:r>
                      </w:p>
                    </w:tc>
                  </w:tr>
                </w:tbl>
                <w:p>
                  <w:pPr>
                    <w:pStyle w:val="EMPTY_CELL_STYLE"/>
                  </w:pPr>
                </w:p>
              </w:tc>
            </w:tr>
          </w:tbl>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pPr>
            <w:r>
              <w:rPr>
                <w:rFonts w:ascii="宋体" w:hAnsi="宋体" w:eastAsia="宋体" w:cs="宋体"/>
                <w:color w:val="000000"/>
                <w:sz w:val="16"/>
              </w:rPr>
              <w:t xml:space="preserve">注:业绩比较基准指管理人综合考虑市场环境、产品性质、投资策略、过往表现等因素，对理财产品设置的投资目标和相关解释说明。业绩比较基准不代表理财产品未来表现，不等于理财产品实际收益，不作为产品收益的业绩保证，投资须谨慎。</w:t>
            </w: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天天万利宝稳利1号净值型理财产品H款2023年半年度报告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产品9K218018自成立日以来，累计净值增长率为18.2940%，年化累计净值增长率为3.9348%。</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9K218018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1.01636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1.18294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7,742,046,238.99</w:t>
                        </w:r>
                      </w:p>
                    </w:tc>
                  </w:tr>
                </w:tbl>
                <w:p>
                  <w:pPr>
                    <w:pStyle w:val="EMPTY_CELL_STYLE"/>
                  </w:pPr>
                </w:p>
              </w:tc>
            </w:tr>
          </w:tbl>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9K218018（适用【A】份额）</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1.01636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1.18294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7,742,046,238.99</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姚立宇先生，澳大利亚墨尔本大学商学学士、澳大利亚莫纳什大学应用金融学硕士，曾就职国家开发银行。2016年加入兴业银行资产管理部固定收益处，2020年入职兴银理财有限责任公司，任固定收益投资经理。投资理念追求收益性和安全性兼顾，获得持续稳定回报，擅长方向通过信用研究和挖掘获取超额收益，并通过利差变化寻求交易性机会。</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64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一、2023年上半年投资策略与运作回顾</w:t>
              <w:br/>
              <w:t xml:space="preserve">    2023年上半年债券市场大致分为三个阶段：1）1-2月新冠第一波疫情后居民报复性出行和消费，经济高频数据比如生产开工率、地铁出行人数等以高斜率快速修复，市场对经济修复存在强预期，10年国债从低点2.81%上行至2.9%附近震荡，信用利差伴随理财规模回升先上后下。2）3-4月经济高频数据修复斜率放缓，原材料价格、商品房成交等逐步显现颓势，市场开始修正对基本面过强的预期以及前期对国债收益率偏高的定价，同时4月理财规模的明显增长为信用债带来新增配置力量，10年国债从2.9%快速下行至2.78%，信用利差大幅压缩。3）5-6月经济数据快速转弱，消费、投资和出口同比、CPI和PPI环比、社融同比均调头下行，期间债市一方面定价弱现实，一方面担忧弱现实情况下信用风险会进一步抬升，同时逐步定价对刺激政策的预期，10年国债从2.78%下行至2.64%走平，信用利差逐步上行，高评级债券信用利差与中低评级走势出现分化。</w:t>
              <w:br/>
              <w:t xml:space="preserve">    上半年来看，收益率方面1年NCD、1年国债、10年国债、信用债3年AAA、3年AA+、3年AA分别变动-11bp、-22bp、-20bp、-39bp、-53bp、-58bp；信用利差方面3年AAA、3年AA+、3年AA分别变动-21bp、-35bp、-40bp。</w:t>
              <w:br/>
              <w:t xml:space="preserve">    产品运作上，1-2月基于基本面“弱现实强预期”采取了防守策略，注重资产的高赔率和高胜率，并在收益率高点积极建仓；3-4月提前预判了理财规模的大幅回流，重点建仓信用债，并做陡利率债曲线；5-6月随着债市利好基本兑现，随债券收益率的下行投资策略逐步增加防守的比重，期间注重建仓低波资产提升组合静态、建仓高评级债券提升组合流动性，平衡收益与波动。</w:t>
              <w:br/>
              <w:t xml:space="preserve">二、2023三季度投资策略展望</w:t>
              <w:br/>
              <w:t xml:space="preserve">    三季度债市大概率震荡中波动率抬升。流动性方面，货币政策依然保持着合理充裕、稳中偏松的态度，在当前</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天天万利宝稳利1号净值型理财产品H款2023年半年度报告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324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基本面弱修复的态势下很难具备边际转紧的基础。基本面方面，经济数据尚在磨底，虽然开工率、原材料价格、贷款融资需求等方面开始出现积极信号，但地产、出口还在筑底，居民和企业收入和预期仍需时间修复。债券收益率中枢大幅抬升的风险较低。政策方面，在高质量发展的背景下，政策更加注重经济结构的调整而非重走地产、基建大规模刺激的老路，政府会议也多次强调需对当前经济修复多些耐心，年内政策的重点更多在托底经济维持修复态势、完成经济增长目标。在这样的背景下，政策的落地对债市的扰动更多是阶段性的、幅度有限的。机构行为方面，由于上半年债市涨幅较大，部分机构已基本完成今年的业绩目标，在下半年的操作将更加倾向于“落袋为安”，将使市场参与者的行为趋向同质化，债市波动率抬升。</w:t>
              <w:br/>
              <w:t xml:space="preserve">    下阶段总体策略将更趋防守，以套息和杠杆策略为主，注重组合流动性，继续提升组合静态，同时积极把握债市调整形成的波段操作机会博取超额收益，提高组合收益率。</w:t>
              <w:br/>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51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天天万利宝稳利1号净值型理财产品H款2023年半年度报告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54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22.12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同业存单</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3.77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权益类投资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0.12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拆放同业及债券买入返售</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0.49</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69.23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69.72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14.30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30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中国工商银行温州分行大额存单06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520,703,636.60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6.73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20民生银行二级</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410,705,166.39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22CSFD132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396,801,386.30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定期存款20230323013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352,850,862.79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4.56</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天天万利宝稳利1号净值型理财产品H款2023年半年度报告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36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21平安银行二级</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312,335,173.97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22CSFD121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255,057,763.70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22CSFD155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243,893,059.73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22CSFD152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223,536,831.51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22CSFD173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223,272,397.53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19民生银行二级01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163,893,479.45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2.12</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96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19乌城投MTN002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20柳州城投PPN002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20兴业消费金融债01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兴业消费金融股份公司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21华福C1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华福证券有限责任公司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21华福C2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华福证券有限责任公司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21乌城投MTN002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21芯鑫租赁MTN001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21招联消费金融债02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22长沙农商行二级资本债01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22衡阳水投MTN001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22华福C1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华福证券有限责任公司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22华福C2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华福证券有限责任公司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22龙投01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华福证券有限责任公司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22浙国贸MTN002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23津城建CP004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天天万利宝稳利1号净值型理财产品H款2023年半年度报告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23浙商银行二级资本债01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8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30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天天万利宝稳利1号净值型理财产品H款</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114.12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人保资管中短期配置8号</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13.09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中国人保资产管理有限公司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天天万利宝稳利1号净值型理财产品H款</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264.02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销售服务费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兴业银行活期存款（福州）</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授信</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051010100100721078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兴业银行理财托管专户天天万利宝稳利1号H款</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2023年9月22日</w:t>
            </w:r>
          </w:p>
        </w:tc>
        <w:tc>
          <w:tcPr>
     </w:tcPr>
          <w:p>
            <w:pPr>
              <w:pStyle w:val="EMPTY_CELL_STYLE"/>
            </w:pPr>
          </w:p>
        </w:tc>
        <w:tc>
          <w:tcPr>
     </w:tcPr>
          <w:p>
            <w:pPr>
              <w:pStyle w:val="EMPTY_CELL_STYLE"/>
            </w:pPr>
          </w:p>
        </w:tc>
      </w:tr>
      <w:tr>
        <w:trPr>
          <w:trHeight w:hRule="exact" w:val="46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