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兴业银行现金宝（3号）人民币理财产品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兴业银行现金宝（3号）人民币理财产品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90612011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16,567,527,255.05份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现金宝3号</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90612011（适用【A】份额）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报告期内，90612011七日年化收益率均值2.3158%。同期业绩比较基准¹如下：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90612011（适用【A】份额）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90612011（适用【A】份额）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16,567,527,255.05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况提前布局产品流动性，保障产品运作安全。同时，我们会按照《关于规范现金管理类理财产品管理有关事项的通知》的相关要求，持续动态监控产品投资组合，保障产品合规、平稳地运作。</w:t>
              <w:br/>
              <w:t xml:space="preserve">”</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19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1,160,083,777.78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1,014,583,332.50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1,014,058,332.53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1,013,999,999.20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751,442,361.14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507,017,360.85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22杭州银行CD273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497,622,336.65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405,007,110.92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18西部物流MTN001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18萧山国资MTN002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20兆润投资MTN002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23春风一方ABN002优先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兴业银行现金宝（3号）人民币理财产品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兴业银行股份有限公司理财产品托管专户（现金宝3号）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107,612,179.05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79,719,617.32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51,995,661.51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51,495,800.13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50,904,298.25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50,563,725.85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39,232,089.24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34,558,795.42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31,189,391.54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25,782,670.82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兴业银行现金宝（3号）人民币理财产品2023年半年度报告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