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2,771,159,422.53份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9N21213A：3.40%--4.30%/4.30%</w:t>
              <w:br/>
              <w:t xml:space="preserve">  9N21213B：3.50%--4.40%/4.40%</w:t>
              <w:br/>
              <w:t xml:space="preserve">  9N21213C：3.55%--4.45%/4.45%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2,297,358,060.97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366,632,702.83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107,168,658.73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产品9N21213A自成立日以来，累计净值增长率为7.0730%，年化累计净值增长率为3.4330%。</w:t>
              <w:br/>
              <w:t xml:space="preserve">产品9N21213B自成立日以来，累计净值增长率为1.9910%，年化累计净值增长率为2.2360%。</w:t>
              <w:br/>
              <w:t xml:space="preserve">产品9N21213C自成立日以来，累计净值增长率为2.0340%，年化累计净值增长率为2.2843%。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2,943,133,013.82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2,459,851,031.82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373,933,538.18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109,348,443.82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400,295,876.69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309,302,468.85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190,067,773.42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162,584,355.07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152,814,597.47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150,724,753.28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119,129,933.33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111,492,553.42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102,963,153.14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101,493,333.26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22浙江旅投MTN002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23通汇投资MTN001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