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4,156,717,807.08份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9N21216A：3.30%--4.00%/4.00%</w:t>
              <w:br/>
              <w:t xml:space="preserve">  9N21216B：3.45%--4.15%/4.15%</w:t>
              <w:br/>
              <w:t xml:space="preserve">  9N21216C：3.45%--4.15%/4.15%</w:t>
              <w:br/>
              <w:t xml:space="preserve">  9N21216D：3.45%--4.15%/4.15%</w:t>
              <w:br/>
              <w:t xml:space="preserve">  9N21216E：3.35%--4.05%/4.05%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1,029,312,468.65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82,174,270.74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14个月C(桃李满园)</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3,015,197,695.75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14个月D（代发专属）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23,102,368.47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6,931,003.47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产品9N21216A自成立日以来，累计净值增长率为7.1500%，年化累计净值增长率为3.9482%。</w:t>
              <w:br/>
              <w:t xml:space="preserve">产品9N21216B自成立日以来，累计净值增长率为7.2730%，年化累计净值增长率为4.0161%。</w:t>
              <w:br/>
              <w:t xml:space="preserve">产品9N21216C自成立日以来，累计净值增长率为7.3610%，年化累计净值增长率为4.1082%。</w:t>
              <w:br/>
              <w:t xml:space="preserve">产品9N21216D自成立日以来，累计净值增长率为2.1200%，年化累计净值增长率为3.3068%。</w:t>
              <w:br/>
              <w:t xml:space="preserve">产品9N21216E自成立日以来，累计净值增长率为2.0730%，年化累计净值增长率为3.2474%。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4,458,868,140.00</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1,102,906,764.38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88,150,475.53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3,237,144,045.02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23,592,158.50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7,074,696.57</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229,814,323.20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201,814,304.11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200,398,484.93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粤财信托·瑞丰73-1号单一资金信托计划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200,352,616.70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粤财信托·瑞丰64-1号单一资金信托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200,294,072.20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粤财信托·瑞丰77-1号单一资金信托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200,288,750.00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100,157,812.33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82,717,680.00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82,122,239.56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22宜兴公用01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23美的发展01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