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15"/>
        <w:gridCol w:w="915"/>
        <w:gridCol w:w="1965"/>
        <w:gridCol w:w="855"/>
        <w:gridCol w:w="855"/>
        <w:gridCol w:w="1215"/>
        <w:gridCol w:w="111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“2022年港湾财富261期个人封闭式净值型理财产品”产品季度运行公告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1、理财产品概况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报告日</w:t>
            </w:r>
          </w:p>
        </w:tc>
        <w:tc>
          <w:tcPr>
            <w:tcW w:w="69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产品名称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2022年港湾财富261期个人封闭式净值型理财产品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产品代码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2022GW261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产品登记编码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C1080322000466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币种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产品发行日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2022年08月09日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产品到期日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2023年02月23日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募集方式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理财产品存续份额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1,604,363,000.00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理财产品资产净值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1,615,973,843.10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累计净值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1.007237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业绩比较基准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3.82%-4.25%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客户端对应单位净值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1.006171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产品类型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固定收益类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产品流动性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报告期内，本理财产品投资运作正常，投资组合流动性风险可控。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理财产品托管人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招商银行股份有限公司天津分行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投资账户信息</w:t>
            </w: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账号：00000032339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开户行：中央结算公司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账户名称：天津银行-港湾财富封闭净值型系列理财产品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账号：B2179901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690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开户行：银行间市场清算所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b/>
                <w:bCs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2、投资组合报告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2.1 投资组合基本情况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杠杆水平</w:t>
            </w:r>
          </w:p>
        </w:tc>
        <w:tc>
          <w:tcPr>
            <w:tcW w:w="781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100.06%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2.2 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465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资产种类</w:t>
            </w:r>
          </w:p>
        </w:tc>
        <w:tc>
          <w:tcPr>
            <w:tcW w:w="40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占投资组合总资产比例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465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直接投资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间接投资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现金、银行存款、货币市场工具类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1.19%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债券、ABS等标准化固定收益类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80.23%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91.43%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非标准化债权类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权益类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公募基金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6.81%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资产管理计划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11.77%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465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其他类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2.3 非标准化债权资产明细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融资客户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项目名称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剩余融资期限（天）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交易结构</w:t>
            </w:r>
          </w:p>
        </w:tc>
        <w:tc>
          <w:tcPr>
            <w:tcW w:w="1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收益率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风险状况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9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2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2.4 占产品资产净值前十大投资资产明细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28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资产名称</w:t>
            </w:r>
          </w:p>
        </w:tc>
        <w:tc>
          <w:tcPr>
            <w:tcW w:w="20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规模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占投资组合的比例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-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渤海汇金海纳天汇集合资管计划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190,396,264.05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194181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22西公01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124,596,986.30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7.71%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2123016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21阳光财险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116,021,369.86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7.18%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2120072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21江西银行永续债01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114,594,232.88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101463004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14豫交投MTN001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110,433,452.05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6.83%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005964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中欧安财债券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110,041,581.63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177533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21旧改01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105,446,712.33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6.53%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114323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18津金02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104,709,178.08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6.48%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032000836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20达州国资PPN001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103,360,356.16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3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189581</w:t>
            </w:r>
          </w:p>
        </w:tc>
        <w:tc>
          <w:tcPr>
            <w:tcW w:w="282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21信鑫A</w:t>
            </w:r>
          </w:p>
        </w:tc>
        <w:tc>
          <w:tcPr>
            <w:tcW w:w="207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100,713,972.60</w:t>
            </w:r>
          </w:p>
        </w:tc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6.23%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4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微软雅黑 !important;" w:hAnsi="微软雅黑 !important;" w:eastAsia="微软雅黑 !important;" w:cs="微软雅黑 !important;"/>
                <w:color w:val="555555"/>
                <w:sz w:val="27"/>
                <w:szCs w:val="27"/>
              </w:rPr>
            </w:pPr>
            <w:r>
              <w:rPr>
                <w:rFonts w:hint="default" w:ascii="微软雅黑 !important;" w:hAnsi="微软雅黑 !important;" w:eastAsia="微软雅黑 !important;" w:cs="微软雅黑 !important;"/>
                <w:i w:val="0"/>
                <w:iCs w:val="0"/>
                <w:caps w:val="0"/>
                <w:color w:val="555555"/>
                <w:spacing w:val="0"/>
                <w:sz w:val="27"/>
                <w:szCs w:val="27"/>
                <w:bdr w:val="none" w:color="auto" w:sz="0" w:space="0"/>
              </w:rPr>
              <w:t>备注：上述披露信息为该产品报告日日终的投资情况，该数据仅供参考，实际投资比例以银行投资运作情况为准。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!important;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WQ5MzkwYzQ5OGQwZWRiMzBhMmY0MTA5N2QwNjcifQ=="/>
  </w:docVars>
  <w:rsids>
    <w:rsidRoot w:val="00000000"/>
    <w:rsid w:val="0A9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2024-04-21T03:18:25Z</dcterms:created>
  <dc:creator>86135</dc:creator>
  <cp:lastModifiedBy>86135</cp:lastModifiedBy>
  <dcterms:modified xsi:type="dcterms:W3CDTF">2024-04-21T03:18:34Z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83B47FDA6DE548F8AF91BBD9793C5BAA_12</vt:lpwstr>
  </property>
</Properties>
</file>