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28"/>
          <w:szCs w:val="28"/>
        </w:rPr>
      </w:pPr>
      <w:bookmarkStart w:id="0" w:name="_GoBack"/>
      <w:bookmarkEnd w:id="0"/>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0"/>
                <wp:effectExtent l="0" t="0" r="0" b="0"/>
                <wp:wrapNone/>
                <wp:docPr id="1" name="configXml"/>
                <wp:cNvGraphicFramePr/>
                <a:graphic xmlns:a="http://schemas.openxmlformats.org/drawingml/2006/main">
                  <a:graphicData uri="http://schemas.microsoft.com/office/word/2010/wordprocessingShape">
                    <wps:wsp>
                      <wps:cNvSpPr txBox="1"/>
                      <wps:spPr>
                        <a:xfrm>
                          <a:off x="0" y="0"/>
                          <a:ext cx="0" cy="0"/>
                        </a:xfrm>
                        <a:prstGeom prst="rect">
                          <a:avLst/>
                        </a:prstGeom>
                        <a:solidFill>
                          <a:srgbClr val="FFFFFF"/>
                        </a:solidFill>
                        <a:ln w="9525" cap="flat" cmpd="sng">
                          <a:solidFill>
                            <a:srgbClr val="000000"/>
                          </a:solidFill>
                          <a:prstDash val="solid"/>
                          <a:miter/>
                          <a:headEnd type="none" w="med" len="med"/>
                          <a:tailEnd type="none" w="med" len="med"/>
                        </a:ln>
                      </wps:spPr>
                      <wps:txbx>
                        <w:txbxContent>
                          <w:p>
                            <w:r>
                              <w:t xml:space="preserve">&lt;?xml version="1.0" encoding="UTF-8"?&gt; &lt;officereport&gt; &lt;options&gt;&lt;![CDATA[this-reportid=EANA$2$5$1$2c3027766c124e86894962c1a5169db5$fe10fa36700143208f95aca2a1cd516b.doc;name=B61000;decimallen=2;caption=恒丰银行定期报告;groupnum=false;viewtype=0;displaylayout=0;id=2c3027766c124e86894962c1a5169db5]]&gt;&lt;/options&gt; &lt;/officereport&gt; </w:t>
                            </w:r>
                          </w:p>
                        </w:txbxContent>
                      </wps:txbx>
                      <wps:bodyPr upright="1"/>
                    </wps:wsp>
                  </a:graphicData>
                </a:graphic>
              </wp:anchor>
            </w:drawing>
          </mc:Choice>
          <mc:Fallback>
            <w:pict>
              <v:shape id="configXml" o:spid="_x0000_s1026" o:spt="202" type="#_x0000_t202" style="position:absolute;left:0pt;margin-left:0pt;margin-top:0pt;height:0pt;width:0pt;z-index:251659264;mso-width-relative:page;mso-height-relative:page;" fillcolor="#FFFFFF" filled="t" stroked="t" coordsize="21600,21600" o:gfxdata="UEsDBAoAAAAAAIdO4kAAAAAAAAAAAAAAAAAEAAAAZHJzL1BLAwQUAAAACACHTuJAW8u5e88AAAD/&#10;AAAADwAAAGRycy9kb3ducmV2LnhtbE2PQU/DMAyF70j8h8hIXNCWDtAYpekOSCC4wUDjmjVeW5E4&#10;JfG68e/xuMDlydaznr9XLQ/BqxFT7iMZmE0LUEhNdD21Bt7fHiYLUJktOesjoYFvzLCsT08qW7q4&#10;p1ccV9wqCaFcWgMd81BqnZsOg83TOCCJt40pWJY1tdolu5fw4PVlUcx1sD3Jh84OeN9h87naBQOL&#10;66fxIz9fvayb+dbf8sXN+PiVjDk/mxV3oBgP/HcMR3xBh1qYNnFHLitvQIrwr4on8+aouq70f+76&#10;B1BLAwQUAAAACACHTuJARKGioO8BAAApBAAADgAAAGRycy9lMm9Eb2MueG1srVNLj9MwEL4j8R8s&#10;32m6lRZB1HQlKOWCAGlZievUj8SSX/K4TfrvGTvd7gMOPZCDMx6Pv5nvm/H6bnKWHVVCE3zHbxZL&#10;zpQXQRrfd/zh1+7dB84wg5dgg1cdPynkd5u3b9ZjbNUqDMFKlRiBeGzH2PEh59g2DYpBOcBFiMrT&#10;oQ7JQaZt6huZYCR0Z5vVcvm+GUOSMQWhEMm7nQ/5GTFdAxi0NkJtgzg45fOMmpSFTJRwMBH5plar&#10;tRL5h9aoMrMdJ6a5rpSE7H1Zm80a2j5BHIw4lwDXlPCKkwPjKekFagsZ2CGZv6CcESlg0Hkhgmtm&#10;IlURYnGzfKXN/QBRVS4kNcaL6Pj/YMX348/EjKRJ4MyDo4aL4LXpfztbxBkjthRzHykqT5/CVALP&#10;fiRn4Tzp5Mqf2DA6J2lPF2nVlJmYneLR2zxdiQnzVxUcK0bHE/WrygjHb5gpDYU+hpQMGKyRO2Nt&#10;3aR+/9kmdgTq7a5+pTK68iLMejZ2/OPt6pYzATSwmgaFTBeJNPq+5ntxA58DL+v3L+BS2BZwmAuo&#10;CCUMWmeyStUaFMgvXrJ8iiSsp/fESzFOSc6soudXrBqZwdhrIomd9USy9GXWv1h52k8EU8x9kCfq&#10;1SEm0w8kae1WDacJquqcp72M6PN9BX164Z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u5e88A&#10;AAD/AAAADwAAAAAAAAABACAAAAAiAAAAZHJzL2Rvd25yZXYueG1sUEsBAhQAFAAAAAgAh07iQESh&#10;oqDvAQAAKQQAAA4AAAAAAAAAAQAgAAAAHgEAAGRycy9lMm9Eb2MueG1sUEsFBgAAAAAGAAYAWQEA&#10;AH8FAAAAAA==&#10;">
                <v:fill on="t" focussize="0,0"/>
                <v:stroke color="#000000" joinstyle="miter"/>
                <v:imagedata o:title=""/>
                <o:lock v:ext="edit" aspectratio="f"/>
                <v:textbox>
                  <w:txbxContent>
                    <w:p>
                      <w:r>
                        <w:t xml:space="preserve">&lt;?xml version="1.0" encoding="UTF-8"?&gt; &lt;officereport&gt; &lt;options&gt;&lt;![CDATA[this-reportid=EANA$2$5$1$2c3027766c124e86894962c1a5169db5$fe10fa36700143208f95aca2a1cd516b.doc;name=B61000;decimallen=2;caption=恒丰银行定期报告;groupnum=false;viewtype=0;displaylayout=0;id=2c3027766c124e86894962c1a5169db5]]&gt;&lt;/options&gt; &lt;/officereport&gt; </w:t>
                      </w:r>
                    </w:p>
                  </w:txbxContent>
                </v:textbox>
              </v:shape>
            </w:pict>
          </mc:Fallback>
        </mc:AlternateContent>
      </w: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黑体" w:hAnsi="黑体" w:eastAsia="黑体" w:cs="黑体"/>
          <w:b/>
          <w:sz w:val="36"/>
          <w:szCs w:val="36"/>
        </w:rPr>
      </w:pPr>
      <w:r>
        <w:rPr>
          <w:rFonts w:hint="eastAsia" w:ascii="黑体" w:hAnsi="黑体" w:eastAsia="黑体" w:cs="黑体"/>
          <w:b/>
          <w:sz w:val="36"/>
          <w:szCs w:val="36"/>
        </w:rPr>
        <w:t>恒丰理财增享系列第57期理财产品</w:t>
      </w:r>
    </w:p>
    <w:p>
      <w:pPr>
        <w:jc w:val="center"/>
        <w:rPr>
          <w:rFonts w:ascii="微软雅黑" w:hAnsi="微软雅黑" w:eastAsia="微软雅黑"/>
          <w:b/>
          <w:sz w:val="28"/>
          <w:szCs w:val="28"/>
        </w:rPr>
      </w:pPr>
      <w:r>
        <w:rPr>
          <w:rFonts w:hint="eastAsia" w:ascii="黑体" w:hAnsi="黑体" w:eastAsia="黑体" w:cs="黑体"/>
          <w:b/>
          <w:sz w:val="36"/>
          <w:szCs w:val="36"/>
        </w:rPr>
        <w:t>2022</w:t>
      </w:r>
      <w:r>
        <w:rPr>
          <w:rFonts w:hint="eastAsia" w:ascii="黑体" w:hAnsi="黑体" w:eastAsia="黑体" w:cs="黑体"/>
          <w:b/>
          <w:sz w:val="36"/>
          <w:szCs w:val="36"/>
          <w:lang w:val="en-US" w:eastAsia="zh-CN"/>
        </w:rPr>
        <w:t>年年度</w:t>
      </w:r>
      <w:r>
        <w:rPr>
          <w:rFonts w:hint="eastAsia" w:ascii="黑体" w:hAnsi="黑体" w:eastAsia="黑体" w:cs="黑体"/>
          <w:b/>
          <w:sz w:val="36"/>
          <w:szCs w:val="36"/>
        </w:rPr>
        <w:t>报告</w:t>
      </w: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ind w:firstLine="2168"/>
        <w:rPr>
          <w:rFonts w:ascii="宋体" w:hAnsi="宋体" w:cs="宋体"/>
          <w:b/>
          <w:sz w:val="24"/>
          <w:szCs w:val="24"/>
        </w:rPr>
      </w:pPr>
      <w:r>
        <w:rPr>
          <w:rFonts w:hint="eastAsia" w:ascii="宋体" w:hAnsi="宋体" w:cs="宋体"/>
          <w:b/>
          <w:sz w:val="24"/>
          <w:szCs w:val="24"/>
        </w:rPr>
        <w:t>产品管理人：恒丰理财有限责任公司</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产品托管人：恒丰银行股份有限公司</w:t>
      </w:r>
    </w:p>
    <w:p>
      <w:pPr>
        <w:jc w:val="center"/>
        <w:rPr>
          <w:rFonts w:ascii="宋体" w:hAnsi="宋体" w:cs="宋体"/>
          <w:b/>
          <w:sz w:val="24"/>
          <w:szCs w:val="24"/>
        </w:rPr>
      </w:pPr>
    </w:p>
    <w:p>
      <w:pPr>
        <w:jc w:val="center"/>
        <w:rPr>
          <w:rFonts w:ascii="微软雅黑" w:hAnsi="微软雅黑" w:eastAsia="微软雅黑"/>
          <w:b/>
          <w:sz w:val="28"/>
          <w:szCs w:val="28"/>
        </w:rPr>
      </w:pPr>
      <w:r>
        <w:rPr>
          <w:rFonts w:hint="eastAsia" w:ascii="宋体" w:hAnsi="宋体" w:cs="宋体"/>
          <w:b/>
          <w:sz w:val="24"/>
          <w:szCs w:val="24"/>
        </w:rPr>
        <w:t>报告期：2022年</w:t>
      </w:r>
      <w:r>
        <w:rPr>
          <w:rFonts w:hint="eastAsia" w:ascii="宋体" w:hAnsi="宋体" w:cs="宋体"/>
          <w:b/>
          <w:sz w:val="24"/>
          <w:szCs w:val="24"/>
          <w:lang w:val="en-US" w:eastAsia="zh-CN"/>
        </w:rPr>
        <w:t>01</w:t>
      </w:r>
      <w:r>
        <w:rPr>
          <w:rFonts w:hint="eastAsia" w:ascii="宋体" w:hAnsi="宋体" w:cs="宋体"/>
          <w:b/>
          <w:sz w:val="24"/>
          <w:szCs w:val="24"/>
        </w:rPr>
        <w:t>月01日至2022年12月31日</w:t>
      </w:r>
    </w:p>
    <w:p>
      <w:pPr>
        <w:jc w:val="left"/>
        <w:rPr>
          <w:rFonts w:ascii="微软雅黑" w:hAnsi="微软雅黑" w:eastAsia="微软雅黑"/>
          <w:b/>
          <w:sz w:val="28"/>
          <w:szCs w:val="28"/>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hanging="720"/>
        <w:rPr>
          <w:rFonts w:ascii="宋体" w:hAnsi="宋体" w:cs="宋体"/>
          <w:b/>
          <w:sz w:val="24"/>
          <w:szCs w:val="24"/>
        </w:rPr>
      </w:pPr>
      <w:r>
        <w:rPr>
          <w:rFonts w:hint="eastAsia" w:ascii="宋体" w:hAnsi="宋体" w:cs="宋体"/>
          <w:b/>
          <w:sz w:val="24"/>
          <w:szCs w:val="24"/>
        </w:rPr>
        <w:t>一、理财产品基本情况</w:t>
      </w:r>
    </w:p>
    <w:tbl>
      <w:tblPr>
        <w:tblStyle w:val="10"/>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5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产品名称</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恒丰理财增享系列第57期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产品代码</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ZX22057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产品登记编码</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Z7008122000017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产品类型</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募集方式</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产品运作模式</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风险等级</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成立日</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2022年07月04日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到期日</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2023年08月11日</w:t>
            </w:r>
          </w:p>
        </w:tc>
      </w:tr>
    </w:tbl>
    <w:p>
      <w:pPr>
        <w:pStyle w:val="22"/>
        <w:ind w:left="720" w:hanging="720"/>
        <w:rPr>
          <w:rFonts w:ascii="宋体" w:hAnsi="宋体" w:cs="宋体"/>
          <w:b/>
          <w:sz w:val="24"/>
          <w:szCs w:val="24"/>
        </w:rPr>
      </w:pPr>
      <w:r>
        <w:rPr>
          <w:rFonts w:hint="eastAsia" w:ascii="宋体" w:hAnsi="宋体" w:cs="宋体"/>
          <w:b/>
          <w:sz w:val="24"/>
          <w:szCs w:val="24"/>
        </w:rPr>
        <w:t>二、产品存续规模和净值表现</w:t>
      </w:r>
    </w:p>
    <w:p>
      <w:pPr>
        <w:ind w:firstLine="480"/>
        <w:rPr>
          <w:rFonts w:ascii="宋体" w:hAnsi="宋体" w:cs="宋体"/>
          <w:sz w:val="24"/>
          <w:szCs w:val="24"/>
        </w:rPr>
      </w:pPr>
      <w:r>
        <w:rPr>
          <w:rFonts w:hint="eastAsia" w:ascii="宋体" w:hAnsi="宋体" w:cs="宋体"/>
          <w:sz w:val="24"/>
          <w:szCs w:val="24"/>
        </w:rPr>
        <w:t>截至报告期末，理财产品存续规模及净值表现如下：</w:t>
      </w:r>
    </w:p>
    <w:tbl>
      <w:tblPr>
        <w:tblStyle w:val="10"/>
        <w:tblW w:w="8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5"/>
        <w:gridCol w:w="3150"/>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理财产品份额</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理财产品总份额:</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228,092,900.00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其中:A类产品份额</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106,285,300.00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B类产品份额</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1,798,700.00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C类产品份额</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120,008,900.00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理财产品份额净值</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其中:A类产品份额净值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B类产品份额净值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0.9991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C类产品份额净值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理财产品累计份额净值</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理财产品累计份额净值: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其中:A类产品累计份额净值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B类产品累计份额净值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0.9991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C类产品累计份额净值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理财产品资产净值</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理财产品资产净值: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228,191,076.71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其中:A类产品资产净值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106,326,539.79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B类产品资产净值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1,797,168.56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C类产品资产净值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120,067,368.36</w:t>
            </w:r>
          </w:p>
        </w:tc>
      </w:tr>
    </w:tbl>
    <w:p>
      <w:pPr>
        <w:pStyle w:val="22"/>
        <w:ind w:left="720" w:hanging="720"/>
        <w:rPr>
          <w:rFonts w:ascii="宋体" w:hAnsi="宋体" w:cs="宋体"/>
          <w:b/>
          <w:sz w:val="24"/>
          <w:szCs w:val="24"/>
        </w:rPr>
      </w:pPr>
      <w:r>
        <w:rPr>
          <w:rFonts w:hint="eastAsia" w:ascii="宋体" w:hAnsi="宋体" w:cs="宋体"/>
          <w:b/>
          <w:sz w:val="24"/>
          <w:szCs w:val="24"/>
        </w:rPr>
        <w:t>三、投资情况</w:t>
      </w:r>
    </w:p>
    <w:tbl>
      <w:tblPr>
        <w:tblStyle w:val="10"/>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1850"/>
        <w:gridCol w:w="1512"/>
        <w:gridCol w:w="1850"/>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项目</w:t>
            </w:r>
          </w:p>
        </w:tc>
        <w:tc>
          <w:tcPr>
            <w:tcW w:w="3362"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穿透前</w:t>
            </w:r>
          </w:p>
        </w:tc>
        <w:tc>
          <w:tcPr>
            <w:tcW w:w="3349"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穿透后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资产余额(元)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占产品总资产的比例(%)</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资产余额(元)</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1.固定收益类</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220,772,659.17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96.64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219,314,986.34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96.00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2.权益类</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7,679,145.81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3.36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9,136,818.64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3.商品及金融衍生品</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0.00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合计</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228,451,804.98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100.00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228,451,804.98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100.00 </w:t>
            </w:r>
          </w:p>
        </w:tc>
      </w:tr>
    </w:tbl>
    <w:p>
      <w:pPr>
        <w:rPr>
          <w:rFonts w:ascii="宋体" w:hAnsi="宋体" w:cs="宋体"/>
          <w:b/>
          <w:sz w:val="24"/>
          <w:szCs w:val="24"/>
        </w:rPr>
      </w:pPr>
      <w:r>
        <w:rPr>
          <w:rFonts w:hint="eastAsia" w:ascii="宋体" w:hAnsi="宋体" w:cs="宋体"/>
          <w:b/>
          <w:sz w:val="24"/>
          <w:szCs w:val="24"/>
        </w:rPr>
        <w:t>四、报告期末按公允价值占理财产品资产净值比例大小排序的前十项资产投资明细</w:t>
      </w:r>
    </w:p>
    <w:tbl>
      <w:tblPr>
        <w:tblStyle w:val="10"/>
        <w:tblW w:w="8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714"/>
        <w:gridCol w:w="2457"/>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序号</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资产名称</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资产余额(元)</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1</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中诚信托永成12号6期</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100,401,095.89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44.00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买入返售金融资产</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10,190,302.92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4.47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3</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21青岛银行二级02</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6,245,868.88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4</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21齐鲁银行二级01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6,103,091.91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5</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20胶州专项债01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5,118,533.34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6</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22海金02</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2,991,874.48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7</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20达州03</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2,485,379.94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8</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19蚌埠城投MTN001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2,372,834.30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9</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20缙云02</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2,282,670.25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10</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21攀国投</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2,171,301.28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0.95 </w:t>
            </w:r>
          </w:p>
        </w:tc>
      </w:tr>
    </w:tbl>
    <w:p>
      <w:pPr>
        <w:rPr>
          <w:rFonts w:ascii="宋体" w:hAnsi="宋体" w:cs="宋体"/>
          <w:sz w:val="24"/>
          <w:szCs w:val="24"/>
        </w:rPr>
      </w:pPr>
      <w:r>
        <w:rPr>
          <w:rFonts w:hint="eastAsia" w:ascii="宋体" w:hAnsi="宋体" w:cs="宋体"/>
          <w:b/>
          <w:sz w:val="24"/>
          <w:szCs w:val="24"/>
        </w:rPr>
        <w:t>五、非标准化债权类资产情况</w:t>
      </w:r>
    </w:p>
    <w:tbl>
      <w:tblPr>
        <w:tblStyle w:val="10"/>
        <w:tblW w:w="8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473"/>
        <w:gridCol w:w="1609"/>
        <w:gridCol w:w="1241"/>
        <w:gridCol w:w="1486"/>
        <w:gridCol w:w="1023"/>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64" w:type="dxa"/>
            <w:shd w:val="clear" w:color="auto" w:fill="auto"/>
            <w:noWrap/>
            <w:vAlign w:val="center"/>
          </w:tcPr>
          <w:p>
            <w:pPr>
              <w:jc w:val="center"/>
              <w:rPr>
                <w:rFonts w:ascii="宋体" w:hAnsi="宋体"/>
                <w:szCs w:val="10"/>
              </w:rPr>
            </w:pPr>
            <w:r>
              <w:rPr>
                <w:rFonts w:hint="eastAsia" w:ascii="宋体" w:hAnsi="宋体"/>
                <w:szCs w:val="10"/>
              </w:rPr>
              <w:t>序号</w:t>
            </w:r>
          </w:p>
        </w:tc>
        <w:tc>
          <w:tcPr>
            <w:tcW w:w="1473" w:type="dxa"/>
            <w:shd w:val="clear" w:color="auto" w:fill="auto"/>
            <w:noWrap/>
            <w:vAlign w:val="center"/>
          </w:tcPr>
          <w:p>
            <w:pPr>
              <w:jc w:val="center"/>
              <w:rPr>
                <w:rFonts w:ascii="宋体" w:hAnsi="宋体"/>
                <w:szCs w:val="10"/>
              </w:rPr>
            </w:pPr>
            <w:r>
              <w:rPr>
                <w:rFonts w:hint="eastAsia" w:ascii="宋体" w:hAnsi="宋体"/>
                <w:szCs w:val="10"/>
              </w:rPr>
              <w:t>融资客户名称</w:t>
            </w:r>
          </w:p>
        </w:tc>
        <w:tc>
          <w:tcPr>
            <w:tcW w:w="1609" w:type="dxa"/>
            <w:shd w:val="clear" w:color="auto" w:fill="auto"/>
            <w:noWrap/>
            <w:vAlign w:val="center"/>
          </w:tcPr>
          <w:p>
            <w:pPr>
              <w:jc w:val="center"/>
              <w:rPr>
                <w:rFonts w:ascii="宋体" w:hAnsi="宋体"/>
                <w:szCs w:val="10"/>
              </w:rPr>
            </w:pPr>
            <w:r>
              <w:rPr>
                <w:rFonts w:hint="eastAsia" w:ascii="宋体" w:hAnsi="宋体"/>
                <w:szCs w:val="10"/>
              </w:rPr>
              <w:t>项目名称</w:t>
            </w:r>
          </w:p>
        </w:tc>
        <w:tc>
          <w:tcPr>
            <w:tcW w:w="1241" w:type="dxa"/>
            <w:shd w:val="clear" w:color="auto" w:fill="auto"/>
            <w:noWrap/>
            <w:vAlign w:val="center"/>
          </w:tcPr>
          <w:p>
            <w:pPr>
              <w:jc w:val="center"/>
              <w:rPr>
                <w:rFonts w:ascii="宋体" w:hAnsi="宋体"/>
                <w:szCs w:val="10"/>
              </w:rPr>
            </w:pPr>
            <w:r>
              <w:rPr>
                <w:rFonts w:hint="eastAsia" w:ascii="宋体" w:hAnsi="宋体"/>
                <w:szCs w:val="10"/>
              </w:rPr>
              <w:t>剩余融资期限（天）</w:t>
            </w:r>
          </w:p>
        </w:tc>
        <w:tc>
          <w:tcPr>
            <w:tcW w:w="1486" w:type="dxa"/>
            <w:shd w:val="clear" w:color="auto" w:fill="auto"/>
            <w:noWrap/>
            <w:vAlign w:val="center"/>
          </w:tcPr>
          <w:p>
            <w:pPr>
              <w:jc w:val="center"/>
              <w:rPr>
                <w:rFonts w:ascii="宋体" w:hAnsi="宋体"/>
                <w:szCs w:val="10"/>
              </w:rPr>
            </w:pPr>
            <w:r>
              <w:rPr>
                <w:rFonts w:hint="eastAsia" w:ascii="宋体" w:hAnsi="宋体"/>
                <w:szCs w:val="10"/>
              </w:rPr>
              <w:t>交易金额</w:t>
            </w:r>
          </w:p>
        </w:tc>
        <w:tc>
          <w:tcPr>
            <w:tcW w:w="1023" w:type="dxa"/>
            <w:shd w:val="clear" w:color="auto" w:fill="auto"/>
            <w:noWrap/>
            <w:vAlign w:val="center"/>
          </w:tcPr>
          <w:p>
            <w:pPr>
              <w:jc w:val="center"/>
              <w:rPr>
                <w:rFonts w:ascii="宋体" w:hAnsi="宋体"/>
                <w:szCs w:val="10"/>
              </w:rPr>
            </w:pPr>
            <w:r>
              <w:rPr>
                <w:rFonts w:hint="eastAsia" w:ascii="宋体" w:hAnsi="宋体"/>
                <w:szCs w:val="10"/>
              </w:rPr>
              <w:t>交易结构</w:t>
            </w:r>
          </w:p>
        </w:tc>
        <w:tc>
          <w:tcPr>
            <w:tcW w:w="714" w:type="dxa"/>
            <w:shd w:val="clear" w:color="auto" w:fill="auto"/>
            <w:noWrap/>
            <w:vAlign w:val="center"/>
          </w:tcPr>
          <w:p>
            <w:pPr>
              <w:jc w:val="center"/>
              <w:rPr>
                <w:rFonts w:ascii="宋体" w:hAnsi="宋体"/>
                <w:szCs w:val="10"/>
              </w:rPr>
            </w:pPr>
            <w:r>
              <w:rPr>
                <w:rFonts w:hint="eastAsia" w:ascii="宋体" w:hAnsi="宋体"/>
                <w:szCs w:val="10"/>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864" w:type="dxa"/>
            <w:shd w:val="clear" w:color="auto" w:fill="auto"/>
            <w:noWrap/>
            <w:vAlign w:val="center"/>
          </w:tcPr>
          <w:p>
            <w:pPr>
              <w:jc w:val="center"/>
              <w:rPr>
                <w:rFonts w:ascii="宋体" w:hAnsi="宋体"/>
                <w:sz w:val="38"/>
              </w:rPr>
            </w:pPr>
            <w:r>
              <w:rPr>
                <w:rFonts w:hint="eastAsia" w:ascii="宋体" w:hAnsi="宋体"/>
                <w:szCs w:val="10"/>
              </w:rPr>
              <w:t>1</w:t>
            </w:r>
          </w:p>
        </w:tc>
        <w:tc>
          <w:tcPr>
            <w:tcW w:w="1473"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信托计划所投资的消费授信付款资产的借款人</w:t>
            </w:r>
          </w:p>
        </w:tc>
        <w:tc>
          <w:tcPr>
            <w:tcW w:w="1609"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中诚信托永成12号集合资金信托计划第6期</w:t>
            </w:r>
          </w:p>
        </w:tc>
        <w:tc>
          <w:tcPr>
            <w:tcW w:w="1241"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 xml:space="preserve">183 </w:t>
            </w:r>
          </w:p>
        </w:tc>
        <w:tc>
          <w:tcPr>
            <w:tcW w:w="1486" w:type="dxa"/>
            <w:shd w:val="clear" w:color="auto" w:fill="auto"/>
            <w:noWrap/>
            <w:vAlign w:val="center"/>
          </w:tcPr>
          <w:p>
            <w:pPr>
              <w:widowControl/>
              <w:jc w:val="center"/>
              <w:textAlignment w:val="center"/>
              <w:rPr>
                <w:rFonts w:ascii="等线" w:hAnsi="等线" w:eastAsia="等线" w:cs="等线"/>
                <w:color w:val="000000"/>
                <w:sz w:val="22"/>
              </w:rPr>
            </w:pPr>
            <w:r>
              <w:rPr>
                <w:rFonts w:hint="eastAsia" w:ascii="宋体" w:hAnsi="宋体" w:cs="宋体"/>
                <w:color w:val="000000"/>
                <w:kern w:val="0"/>
                <w:sz w:val="22"/>
              </w:rPr>
              <w:t xml:space="preserve">100000000.00 </w:t>
            </w:r>
          </w:p>
        </w:tc>
        <w:tc>
          <w:tcPr>
            <w:tcW w:w="1023"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理财资金→信托计划→购买消费授信付款资产</w:t>
            </w:r>
          </w:p>
        </w:tc>
        <w:tc>
          <w:tcPr>
            <w:tcW w:w="714"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正常</w:t>
            </w:r>
          </w:p>
        </w:tc>
      </w:tr>
    </w:tbl>
    <w:p>
      <w:pPr>
        <w:rPr>
          <w:rFonts w:ascii="宋体" w:hAnsi="宋体" w:cs="宋体"/>
          <w:b/>
          <w:sz w:val="24"/>
          <w:szCs w:val="24"/>
        </w:rPr>
      </w:pPr>
      <w:r>
        <w:rPr>
          <w:rFonts w:hint="eastAsia" w:ascii="宋体" w:hAnsi="宋体" w:cs="宋体"/>
          <w:b/>
          <w:sz w:val="24"/>
          <w:szCs w:val="24"/>
        </w:rPr>
        <w:t>六、报告期内关联交易情况</w:t>
      </w:r>
    </w:p>
    <w:p>
      <w:pPr>
        <w:ind w:firstLine="480"/>
        <w:rPr>
          <w:rFonts w:ascii="宋体" w:hAnsi="宋体" w:cs="宋体"/>
          <w:sz w:val="24"/>
          <w:szCs w:val="24"/>
        </w:rPr>
      </w:pPr>
      <w:r>
        <w:rPr>
          <w:rFonts w:hint="eastAsia" w:ascii="宋体" w:hAnsi="宋体" w:cs="宋体"/>
          <w:sz w:val="24"/>
          <w:szCs w:val="24"/>
        </w:rPr>
        <w:t>无</w:t>
      </w:r>
    </w:p>
    <w:p>
      <w:pPr>
        <w:rPr>
          <w:rFonts w:ascii="宋体" w:hAnsi="宋体" w:cs="宋体"/>
          <w:b/>
          <w:sz w:val="24"/>
          <w:szCs w:val="24"/>
        </w:rPr>
      </w:pPr>
      <w:r>
        <w:rPr>
          <w:rFonts w:hint="eastAsia" w:ascii="宋体" w:hAnsi="宋体" w:cs="宋体"/>
          <w:b/>
          <w:sz w:val="24"/>
          <w:szCs w:val="24"/>
        </w:rPr>
        <w:t>七、投资账户信息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350"/>
        <w:gridCol w:w="1857"/>
        <w:gridCol w:w="2456"/>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92" w:type="dxa"/>
            <w:vAlign w:val="center"/>
          </w:tcPr>
          <w:p>
            <w:pPr>
              <w:jc w:val="center"/>
              <w:rPr>
                <w:rFonts w:ascii="宋体" w:hAnsi="宋体" w:cs="宋体"/>
                <w:b/>
                <w:sz w:val="24"/>
                <w:szCs w:val="24"/>
              </w:rPr>
            </w:pPr>
            <w:r>
              <w:rPr>
                <w:rFonts w:hint="eastAsia" w:ascii="宋体" w:hAnsi="宋体" w:cs="宋体"/>
                <w:bCs/>
                <w:sz w:val="24"/>
                <w:szCs w:val="24"/>
              </w:rPr>
              <w:t>序号</w:t>
            </w:r>
          </w:p>
        </w:tc>
        <w:tc>
          <w:tcPr>
            <w:tcW w:w="1350" w:type="dxa"/>
            <w:vAlign w:val="center"/>
          </w:tcPr>
          <w:p>
            <w:pPr>
              <w:jc w:val="center"/>
              <w:rPr>
                <w:rFonts w:ascii="宋体" w:hAnsi="宋体" w:cs="宋体"/>
                <w:bCs/>
                <w:sz w:val="24"/>
                <w:szCs w:val="24"/>
              </w:rPr>
            </w:pPr>
            <w:r>
              <w:rPr>
                <w:rFonts w:hint="eastAsia" w:ascii="宋体" w:hAnsi="宋体" w:cs="宋体"/>
                <w:bCs/>
                <w:sz w:val="24"/>
                <w:szCs w:val="24"/>
              </w:rPr>
              <w:t>账户类型</w:t>
            </w:r>
          </w:p>
        </w:tc>
        <w:tc>
          <w:tcPr>
            <w:tcW w:w="1857" w:type="dxa"/>
            <w:vAlign w:val="center"/>
          </w:tcPr>
          <w:p>
            <w:pPr>
              <w:jc w:val="center"/>
              <w:rPr>
                <w:rFonts w:ascii="宋体" w:hAnsi="宋体" w:cs="宋体"/>
                <w:bCs/>
                <w:sz w:val="24"/>
                <w:szCs w:val="24"/>
              </w:rPr>
            </w:pPr>
            <w:r>
              <w:rPr>
                <w:rFonts w:hint="eastAsia" w:ascii="宋体" w:hAnsi="宋体" w:cs="宋体"/>
                <w:bCs/>
                <w:sz w:val="24"/>
                <w:szCs w:val="24"/>
              </w:rPr>
              <w:t>户名</w:t>
            </w:r>
          </w:p>
        </w:tc>
        <w:tc>
          <w:tcPr>
            <w:tcW w:w="2456" w:type="dxa"/>
            <w:vAlign w:val="center"/>
          </w:tcPr>
          <w:p>
            <w:pPr>
              <w:jc w:val="center"/>
              <w:rPr>
                <w:rFonts w:ascii="宋体" w:hAnsi="宋体" w:cs="宋体"/>
                <w:bCs/>
                <w:sz w:val="24"/>
                <w:szCs w:val="24"/>
              </w:rPr>
            </w:pPr>
            <w:r>
              <w:rPr>
                <w:rFonts w:hint="eastAsia" w:ascii="宋体" w:hAnsi="宋体" w:cs="宋体"/>
                <w:bCs/>
                <w:sz w:val="24"/>
                <w:szCs w:val="24"/>
              </w:rPr>
              <w:t>账号</w:t>
            </w:r>
          </w:p>
        </w:tc>
        <w:tc>
          <w:tcPr>
            <w:tcW w:w="2067" w:type="dxa"/>
            <w:vAlign w:val="center"/>
          </w:tcPr>
          <w:p>
            <w:pPr>
              <w:jc w:val="center"/>
              <w:rPr>
                <w:rFonts w:ascii="宋体" w:hAnsi="宋体" w:cs="宋体"/>
                <w:bCs/>
                <w:sz w:val="24"/>
                <w:szCs w:val="24"/>
              </w:rPr>
            </w:pPr>
            <w:r>
              <w:rPr>
                <w:rFonts w:hint="eastAsia" w:ascii="宋体" w:hAnsi="宋体" w:cs="宋体"/>
                <w:bCs/>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pPr>
              <w:jc w:val="center"/>
              <w:rPr>
                <w:rFonts w:ascii="宋体" w:hAnsi="宋体" w:cs="宋体"/>
                <w:bCs/>
                <w:sz w:val="24"/>
                <w:szCs w:val="24"/>
              </w:rPr>
            </w:pPr>
            <w:r>
              <w:rPr>
                <w:rFonts w:hint="eastAsia" w:ascii="宋体" w:hAnsi="宋体" w:cs="宋体"/>
                <w:bCs/>
                <w:sz w:val="24"/>
                <w:szCs w:val="24"/>
              </w:rPr>
              <w:t>1</w:t>
            </w:r>
          </w:p>
        </w:tc>
        <w:tc>
          <w:tcPr>
            <w:tcW w:w="1350" w:type="dxa"/>
            <w:vAlign w:val="center"/>
          </w:tcPr>
          <w:p>
            <w:pPr>
              <w:jc w:val="center"/>
              <w:rPr>
                <w:rFonts w:ascii="宋体" w:hAnsi="宋体" w:cs="宋体"/>
                <w:bCs/>
                <w:sz w:val="24"/>
                <w:szCs w:val="24"/>
              </w:rPr>
            </w:pPr>
            <w:r>
              <w:rPr>
                <w:rFonts w:hint="eastAsia" w:ascii="宋体" w:hAnsi="宋体" w:cs="宋体"/>
                <w:bCs/>
                <w:sz w:val="24"/>
                <w:szCs w:val="24"/>
              </w:rPr>
              <w:t>资金托管账户</w:t>
            </w:r>
          </w:p>
        </w:tc>
        <w:tc>
          <w:tcPr>
            <w:tcW w:w="1857" w:type="dxa"/>
            <w:vAlign w:val="center"/>
          </w:tcPr>
          <w:p>
            <w:pPr>
              <w:jc w:val="center"/>
              <w:rPr>
                <w:rFonts w:ascii="宋体" w:hAnsi="宋体" w:cs="宋体"/>
                <w:bCs/>
                <w:sz w:val="24"/>
                <w:szCs w:val="24"/>
              </w:rPr>
            </w:pPr>
            <w:r>
              <w:rPr>
                <w:rFonts w:hint="eastAsia" w:ascii="宋体" w:hAnsi="宋体" w:cs="宋体"/>
                <w:bCs/>
                <w:sz w:val="24"/>
                <w:szCs w:val="24"/>
              </w:rPr>
              <w:t>恒丰银行股份有限公司恒丰银行增享系列第57期</w:t>
            </w:r>
          </w:p>
        </w:tc>
        <w:tc>
          <w:tcPr>
            <w:tcW w:w="2456" w:type="dxa"/>
            <w:vAlign w:val="center"/>
          </w:tcPr>
          <w:p>
            <w:pPr>
              <w:jc w:val="center"/>
              <w:rPr>
                <w:rFonts w:ascii="宋体" w:hAnsi="宋体" w:cs="宋体"/>
                <w:bCs/>
                <w:sz w:val="24"/>
                <w:szCs w:val="24"/>
              </w:rPr>
            </w:pPr>
            <w:r>
              <w:rPr>
                <w:rFonts w:hint="eastAsia" w:ascii="宋体" w:hAnsi="宋体" w:cs="宋体"/>
                <w:bCs/>
                <w:sz w:val="24"/>
                <w:szCs w:val="24"/>
              </w:rPr>
              <w:t>50050101100100000074</w:t>
            </w:r>
          </w:p>
        </w:tc>
        <w:tc>
          <w:tcPr>
            <w:tcW w:w="2067" w:type="dxa"/>
            <w:vAlign w:val="center"/>
          </w:tcPr>
          <w:p>
            <w:pPr>
              <w:jc w:val="center"/>
              <w:rPr>
                <w:rFonts w:ascii="宋体" w:hAnsi="宋体" w:cs="宋体"/>
                <w:bCs/>
                <w:sz w:val="24"/>
                <w:szCs w:val="24"/>
              </w:rPr>
            </w:pPr>
            <w:r>
              <w:rPr>
                <w:rFonts w:hint="eastAsia" w:ascii="宋体" w:hAnsi="宋体" w:cs="宋体"/>
                <w:bCs/>
                <w:sz w:val="24"/>
                <w:szCs w:val="24"/>
              </w:rPr>
              <w:t>恒丰银行重庆分行营业部</w:t>
            </w:r>
          </w:p>
        </w:tc>
      </w:tr>
    </w:tbl>
    <w:p>
      <w:pPr>
        <w:rPr>
          <w:rFonts w:ascii="宋体" w:hAnsi="宋体" w:cs="宋体"/>
          <w:b/>
          <w:sz w:val="24"/>
          <w:szCs w:val="24"/>
        </w:rPr>
      </w:pPr>
      <w:r>
        <w:rPr>
          <w:rFonts w:hint="eastAsia" w:ascii="宋体" w:hAnsi="宋体" w:cs="宋体"/>
          <w:b/>
          <w:sz w:val="24"/>
          <w:szCs w:val="24"/>
        </w:rPr>
        <w:t>八、产品整体运作情况</w:t>
      </w:r>
    </w:p>
    <w:p>
      <w:pPr>
        <w:ind w:firstLine="480"/>
        <w:rPr>
          <w:rFonts w:ascii="宋体" w:hAnsi="宋体" w:cs="宋体"/>
          <w:sz w:val="24"/>
          <w:szCs w:val="24"/>
        </w:rPr>
      </w:pPr>
      <w:r>
        <w:rPr>
          <w:rFonts w:hint="eastAsia" w:ascii="宋体" w:hAnsi="宋体" w:cs="宋体"/>
          <w:sz w:val="24"/>
          <w:szCs w:val="24"/>
        </w:rPr>
        <w:t>自本产品成立起至本报告日，产品管理人恪尽职守、勤勉尽责、谨慎管理，忠实履行有关法律、行政法规和相关文件的规定。</w:t>
      </w:r>
    </w:p>
    <w:p>
      <w:pPr>
        <w:ind w:firstLine="480"/>
        <w:rPr>
          <w:rFonts w:ascii="宋体" w:hAnsi="宋体" w:cs="宋体"/>
          <w:sz w:val="24"/>
          <w:szCs w:val="24"/>
        </w:rPr>
      </w:pPr>
      <w:r>
        <w:rPr>
          <w:rFonts w:hint="eastAsia" w:ascii="宋体" w:hAnsi="宋体" w:cs="宋体"/>
          <w:sz w:val="24"/>
          <w:szCs w:val="24"/>
        </w:rPr>
        <w:t>截至本报告日，全部项目均能正常付息，各项投资资产正常运营，产品流动性良好，风险可控。</w:t>
      </w:r>
    </w:p>
    <w:p>
      <w:pPr>
        <w:ind w:firstLine="480"/>
        <w:rPr>
          <w:rFonts w:ascii="宋体" w:hAnsi="宋体" w:cs="宋体"/>
          <w:sz w:val="24"/>
          <w:szCs w:val="24"/>
        </w:rPr>
      </w:pPr>
      <w:r>
        <w:rPr>
          <w:rFonts w:hint="eastAsia" w:ascii="宋体" w:hAnsi="宋体" w:cs="宋体"/>
          <w:sz w:val="24"/>
          <w:szCs w:val="24"/>
        </w:rPr>
        <w:t>本产品自成立至本报告日，没有发生涉诉等损害投资者利益的情形。</w:t>
      </w:r>
    </w:p>
    <w:p>
      <w:pPr>
        <w:rPr>
          <w:rFonts w:ascii="宋体" w:hAnsi="宋体" w:cs="宋体"/>
          <w:b/>
          <w:bCs/>
          <w:sz w:val="24"/>
          <w:szCs w:val="24"/>
        </w:rPr>
      </w:pPr>
      <w:r>
        <w:rPr>
          <w:rFonts w:hint="eastAsia" w:ascii="宋体" w:hAnsi="宋体" w:cs="宋体"/>
          <w:b/>
          <w:bCs/>
          <w:sz w:val="24"/>
          <w:szCs w:val="24"/>
        </w:rPr>
        <w:t>九、投资组合的流动性分析</w:t>
      </w:r>
    </w:p>
    <w:p>
      <w:pPr>
        <w:ind w:firstLine="480"/>
        <w:rPr>
          <w:rFonts w:ascii="宋体" w:hAnsi="宋体" w:cs="宋体"/>
          <w:sz w:val="24"/>
          <w:szCs w:val="24"/>
        </w:rPr>
      </w:pPr>
      <w:r>
        <w:rPr>
          <w:rFonts w:hint="eastAsia" w:ascii="宋体" w:hAnsi="宋体" w:cs="宋体"/>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宋体" w:hAnsi="宋体" w:cs="宋体"/>
          <w:sz w:val="24"/>
          <w:szCs w:val="24"/>
        </w:rPr>
      </w:pPr>
      <w:r>
        <w:rPr>
          <w:rFonts w:hint="eastAsia" w:ascii="宋体" w:hAnsi="宋体" w:cs="宋体"/>
          <w:sz w:val="24"/>
          <w:szCs w:val="24"/>
        </w:rPr>
        <w:t>本产品管理人将合理安排所投资产的期限，尽可能降低流动性风险，有效保障投资者的利益。</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ind w:firstLine="480"/>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                                            恒丰理财有限责任公司</w:t>
      </w:r>
    </w:p>
    <w:p>
      <w:pPr>
        <w:ind w:firstLine="5520" w:firstLineChars="2300"/>
        <w:rPr>
          <w:rFonts w:ascii="宋体" w:hAnsi="宋体" w:cs="宋体"/>
          <w:sz w:val="24"/>
          <w:szCs w:val="24"/>
        </w:rPr>
      </w:pPr>
      <w:r>
        <w:rPr>
          <w:rFonts w:hint="eastAsia" w:ascii="宋体" w:hAnsi="宋体" w:cs="宋体"/>
          <w:sz w:val="24"/>
          <w:szCs w:val="24"/>
        </w:rPr>
        <w:t>2023年0</w:t>
      </w:r>
      <w:r>
        <w:rPr>
          <w:rFonts w:hint="eastAsia" w:ascii="宋体" w:hAnsi="宋体" w:cs="宋体"/>
          <w:sz w:val="24"/>
          <w:szCs w:val="24"/>
          <w:lang w:val="en-US" w:eastAsia="zh-CN"/>
        </w:rPr>
        <w:t>3</w:t>
      </w:r>
      <w:r>
        <w:rPr>
          <w:rFonts w:hint="eastAsia" w:ascii="宋体" w:hAnsi="宋体" w:cs="宋体"/>
          <w:sz w:val="24"/>
          <w:szCs w:val="24"/>
        </w:rPr>
        <w:t>月1</w:t>
      </w:r>
      <w:r>
        <w:rPr>
          <w:rFonts w:hint="eastAsia" w:ascii="宋体" w:hAnsi="宋体" w:cs="宋体"/>
          <w:sz w:val="24"/>
          <w:szCs w:val="24"/>
          <w:lang w:val="en-US" w:eastAsia="zh-CN"/>
        </w:rPr>
        <w:t>4</w:t>
      </w:r>
      <w:r>
        <w:rPr>
          <w:rFonts w:hint="eastAsia" w:ascii="宋体" w:hAnsi="宋体" w:cs="宋体"/>
          <w:sz w:val="24"/>
          <w:szCs w:val="24"/>
        </w:rPr>
        <w:t>日</w:t>
      </w:r>
    </w:p>
    <w:p>
      <w:pPr>
        <w:ind w:firstLine="5280"/>
        <w:rPr>
          <w:rFonts w:ascii="宋体" w:hAnsi="宋体" w:cs="宋体"/>
          <w:sz w:val="24"/>
          <w:szCs w:val="24"/>
        </w:rPr>
      </w:pPr>
    </w:p>
    <w:p>
      <w:pPr>
        <w:ind w:firstLine="5280"/>
        <w:rPr>
          <w:rFonts w:ascii="宋体" w:hAnsi="宋体" w:cs="宋体"/>
          <w:sz w:val="24"/>
          <w:szCs w:val="24"/>
        </w:rPr>
      </w:pPr>
    </w:p>
    <w:p>
      <w:pPr>
        <w:pStyle w:val="21"/>
        <w:numPr>
          <w:ilvl w:val="0"/>
          <w:numId w:val="0"/>
        </w:numPr>
        <w:rPr>
          <w:rFonts w:cs="宋体"/>
          <w:sz w:val="32"/>
          <w:szCs w:val="32"/>
        </w:rPr>
      </w:pPr>
      <w:r>
        <w:rPr>
          <w:rFonts w:hint="eastAsia" w:cs="宋体"/>
          <w:sz w:val="32"/>
          <w:szCs w:val="32"/>
        </w:rPr>
        <w:t>托管人报告</w:t>
      </w:r>
    </w:p>
    <w:p>
      <w:pPr>
        <w:pStyle w:val="20"/>
        <w:numPr>
          <w:ilvl w:val="0"/>
          <w:numId w:val="0"/>
        </w:numPr>
        <w:spacing w:before="312"/>
        <w:rPr>
          <w:rFonts w:cs="宋体"/>
          <w:szCs w:val="24"/>
        </w:rPr>
      </w:pPr>
      <w:r>
        <w:rPr>
          <w:rFonts w:hint="eastAsia" w:cs="宋体"/>
          <w:szCs w:val="24"/>
          <w:lang w:val="en-US"/>
        </w:rPr>
        <w:t>1.1</w:t>
      </w:r>
      <w:r>
        <w:rPr>
          <w:rFonts w:hint="eastAsia" w:cs="宋体"/>
          <w:szCs w:val="24"/>
        </w:rPr>
        <w:t>报告期内本</w:t>
      </w:r>
      <w:r>
        <w:rPr>
          <w:rFonts w:hint="eastAsia" w:cs="宋体"/>
          <w:szCs w:val="24"/>
          <w:lang w:val="en-US"/>
        </w:rPr>
        <w:t>理财产品</w:t>
      </w:r>
      <w:r>
        <w:rPr>
          <w:rFonts w:hint="eastAsia" w:cs="宋体"/>
          <w:szCs w:val="24"/>
        </w:rPr>
        <w:t>托管人遵规守信情况声明</w:t>
      </w:r>
    </w:p>
    <w:p>
      <w:pPr>
        <w:pStyle w:val="19"/>
        <w:ind w:firstLine="480"/>
        <w:rPr>
          <w:rFonts w:ascii="宋体" w:hAnsi="宋体" w:cs="宋体"/>
          <w:sz w:val="24"/>
          <w:szCs w:val="24"/>
        </w:rPr>
      </w:pPr>
      <w:r>
        <w:rPr>
          <w:rFonts w:hint="eastAsia" w:ascii="宋体" w:hAnsi="宋体" w:cs="宋体"/>
          <w:sz w:val="24"/>
          <w:szCs w:val="24"/>
        </w:rPr>
        <w:t>在本报告期内，本托管人严格遵守《商业银行理财业务监督管理办法》、理财产品说明书、托管协议及其他有关法律法规规定，诚信、尽责地履行了理财产品托管人义务。</w:t>
      </w:r>
    </w:p>
    <w:p>
      <w:pPr>
        <w:pStyle w:val="20"/>
        <w:numPr>
          <w:ilvl w:val="0"/>
          <w:numId w:val="0"/>
        </w:numPr>
        <w:spacing w:before="312"/>
        <w:rPr>
          <w:rFonts w:cs="宋体"/>
          <w:szCs w:val="24"/>
        </w:rPr>
      </w:pPr>
      <w:r>
        <w:rPr>
          <w:rFonts w:hint="eastAsia" w:cs="宋体"/>
          <w:szCs w:val="24"/>
          <w:lang w:val="en-US"/>
        </w:rPr>
        <w:t>1.2</w:t>
      </w:r>
      <w:r>
        <w:rPr>
          <w:rFonts w:hint="eastAsia" w:cs="宋体"/>
          <w:szCs w:val="24"/>
        </w:rPr>
        <w:t>托管人对报告期内本</w:t>
      </w:r>
      <w:r>
        <w:rPr>
          <w:rFonts w:hint="eastAsia" w:cs="宋体"/>
          <w:szCs w:val="24"/>
          <w:lang w:val="en-US"/>
        </w:rPr>
        <w:t>理财产品</w:t>
      </w:r>
      <w:r>
        <w:rPr>
          <w:rFonts w:hint="eastAsia" w:cs="宋体"/>
          <w:szCs w:val="24"/>
        </w:rPr>
        <w:t>投资运作遵规守信、净值计算、利润分配等情况的说明</w:t>
      </w:r>
    </w:p>
    <w:p>
      <w:pPr>
        <w:pStyle w:val="19"/>
        <w:ind w:firstLine="480"/>
        <w:rPr>
          <w:rFonts w:ascii="宋体" w:hAnsi="宋体" w:cs="宋体"/>
          <w:sz w:val="24"/>
          <w:szCs w:val="24"/>
        </w:rPr>
      </w:pPr>
      <w:r>
        <w:rPr>
          <w:rFonts w:hint="eastAsia" w:ascii="宋体" w:hAnsi="宋体" w:cs="宋体"/>
          <w:sz w:val="24"/>
          <w:szCs w:val="24"/>
        </w:rPr>
        <w:t>本报告期内，本托管人根据国家有关法律法规、理财产品说明书和托管协议的规定，对理财产品管理人在本理财产品的投资运作、资产净值计算、理财收益的计算、费用开支、利润分配情况（如有）等方面进行了必要的监督，未发现理财产品管理人有损害本理财产品份额持有人利益的行为。</w:t>
      </w:r>
    </w:p>
    <w:p>
      <w:pPr>
        <w:pStyle w:val="20"/>
        <w:numPr>
          <w:ilvl w:val="0"/>
          <w:numId w:val="0"/>
        </w:numPr>
        <w:spacing w:before="312"/>
        <w:rPr>
          <w:rFonts w:cs="宋体"/>
          <w:szCs w:val="24"/>
        </w:rPr>
      </w:pPr>
      <w:r>
        <w:rPr>
          <w:rFonts w:hint="eastAsia" w:cs="宋体"/>
          <w:szCs w:val="24"/>
          <w:lang w:val="en-US"/>
        </w:rPr>
        <w:t>1.3</w:t>
      </w:r>
      <w:r>
        <w:rPr>
          <w:rFonts w:hint="eastAsia" w:cs="宋体"/>
          <w:szCs w:val="24"/>
        </w:rPr>
        <w:t>托管人对本报告中财务信息等内容的真实、准确和完整发表意见</w:t>
      </w:r>
    </w:p>
    <w:p>
      <w:pPr>
        <w:spacing w:line="360" w:lineRule="auto"/>
        <w:ind w:firstLine="480"/>
        <w:rPr>
          <w:rFonts w:ascii="宋体" w:hAnsi="宋体" w:cs="宋体"/>
          <w:color w:val="222222"/>
          <w:kern w:val="0"/>
          <w:sz w:val="24"/>
          <w:szCs w:val="24"/>
        </w:rPr>
      </w:pPr>
      <w:r>
        <w:rPr>
          <w:rFonts w:hint="eastAsia" w:ascii="宋体" w:hAnsi="宋体" w:cs="宋体"/>
          <w:color w:val="222222"/>
          <w:kern w:val="0"/>
          <w:sz w:val="24"/>
          <w:szCs w:val="24"/>
        </w:rPr>
        <w:t>本托管人复核了本报告中的财务指标、净值表现、利润分配情况（如有）、财务会计报告、投资组合报告等内容，认为其真实、准确和完整，不存在虚假记载、误导性陈述或者重大遗漏。</w:t>
      </w:r>
    </w:p>
    <w:p>
      <w:pPr>
        <w:pStyle w:val="23"/>
        <w:rPr>
          <w:rFonts w:ascii="宋体" w:hAnsi="宋体" w:cs="宋体"/>
          <w:b/>
        </w:rPr>
      </w:pPr>
    </w:p>
    <w:p>
      <w:pPr>
        <w:pStyle w:val="22"/>
        <w:ind w:left="450" w:firstLine="0"/>
        <w:rPr>
          <w:rFonts w:ascii="宋体" w:hAnsi="宋体" w:cs="宋体"/>
          <w:sz w:val="24"/>
          <w:szCs w:val="24"/>
        </w:rPr>
      </w:pPr>
    </w:p>
    <w:p>
      <w:pPr>
        <w:ind w:left="450"/>
        <w:rPr>
          <w:rFonts w:ascii="宋体" w:hAnsi="宋体" w:cs="宋体"/>
          <w:sz w:val="24"/>
          <w:szCs w:val="24"/>
        </w:rPr>
      </w:pPr>
      <w:r>
        <w:rPr>
          <w:rFonts w:hint="eastAsia" w:ascii="宋体" w:hAnsi="宋体" w:cs="宋体"/>
          <w:sz w:val="24"/>
          <w:szCs w:val="24"/>
        </w:rPr>
        <w:br w:type="page"/>
      </w:r>
    </w:p>
    <w:p>
      <w:pPr>
        <w:pStyle w:val="22"/>
        <w:ind w:left="450" w:firstLine="0"/>
        <w:rPr>
          <w:rFonts w:ascii="宋体" w:hAnsi="宋体" w:cs="宋体"/>
          <w:sz w:val="24"/>
          <w:szCs w:val="24"/>
        </w:rPr>
      </w:pPr>
    </w:p>
    <w:p>
      <w:pPr>
        <w:pStyle w:val="23"/>
        <w:rPr>
          <w:rFonts w:ascii="宋体" w:hAnsi="宋体" w:cs="宋体"/>
          <w:b/>
        </w:rPr>
      </w:pPr>
      <w:r>
        <w:rPr>
          <w:rFonts w:hint="eastAsia" w:ascii="宋体" w:hAnsi="宋体" w:cs="宋体"/>
          <w:b/>
        </w:rPr>
        <w:t>免责声明</w:t>
      </w:r>
    </w:p>
    <w:p>
      <w:pPr>
        <w:pStyle w:val="23"/>
        <w:rPr>
          <w:rFonts w:ascii="宋体" w:hAnsi="宋体" w:cs="宋体"/>
        </w:rPr>
      </w:pPr>
    </w:p>
    <w:p>
      <w:pPr>
        <w:pStyle w:val="23"/>
        <w:spacing w:line="360" w:lineRule="auto"/>
        <w:ind w:firstLine="480"/>
        <w:rPr>
          <w:rFonts w:ascii="宋体" w:hAnsi="宋体" w:cs="宋体"/>
        </w:rPr>
      </w:pPr>
      <w:r>
        <w:rPr>
          <w:rFonts w:hint="eastAsia" w:ascii="宋体" w:hAnsi="宋体" w:cs="宋体"/>
        </w:rPr>
        <w:t>本报告内容仅供报告阅读者参考，一切商业决策均将由报告阅读者综合各方信息后自行作出，对于本报告所提供的信息导致的任何直接或间接的后果，管理人恒丰理财有限责任公司不承担任何责任。</w:t>
      </w:r>
    </w:p>
    <w:p>
      <w:pPr>
        <w:pStyle w:val="23"/>
        <w:spacing w:line="360" w:lineRule="auto"/>
        <w:ind w:firstLine="480"/>
        <w:rPr>
          <w:rFonts w:ascii="宋体" w:hAnsi="宋体" w:cs="宋体"/>
        </w:rPr>
      </w:pPr>
      <w:r>
        <w:rPr>
          <w:rFonts w:hint="eastAsia" w:ascii="宋体" w:hAnsi="宋体" w:cs="宋体"/>
        </w:rPr>
        <w:t>本报告版权仅为管理人所有，未经书面许可任何机构和个人不得以任何形式翻版、复制和发表。除非是已被公开出版刊物正式刊登，否则，均应被视为非公开的研讨性分析行为。如引用、刊发，需注明出处为恒丰理财有限责任公司，且不得对本报告进行有悖原意的引用、删节和修改。</w:t>
      </w:r>
    </w:p>
    <w:p>
      <w:pPr>
        <w:spacing w:line="360" w:lineRule="auto"/>
        <w:ind w:firstLine="480"/>
        <w:rPr>
          <w:szCs w:val="21"/>
        </w:rPr>
      </w:pPr>
      <w:r>
        <w:rPr>
          <w:rFonts w:hint="eastAsia" w:ascii="宋体" w:hAnsi="宋体" w:cs="宋体"/>
          <w:sz w:val="24"/>
          <w:szCs w:val="24"/>
        </w:rPr>
        <w:t>管理人恒丰理财有限责任公司对于本免责声明条款具有修改和最终解释权。</w:t>
      </w:r>
    </w:p>
    <w:p>
      <w:pPr>
        <w:pStyle w:val="22"/>
        <w:ind w:left="450" w:firstLine="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9778E"/>
    <w:multiLevelType w:val="multilevel"/>
    <w:tmpl w:val="13E9778E"/>
    <w:lvl w:ilvl="0" w:tentative="0">
      <w:start w:val="1"/>
      <w:numFmt w:val="decimal"/>
      <w:pStyle w:val="21"/>
      <w:suff w:val="space"/>
      <w:lvlText w:val="§%1"/>
      <w:lvlJc w:val="center"/>
      <w:pPr>
        <w:ind w:left="425" w:hanging="425"/>
      </w:pPr>
      <w:rPr>
        <w:rFonts w:hint="eastAsia"/>
      </w:rPr>
    </w:lvl>
    <w:lvl w:ilvl="1" w:tentative="0">
      <w:start w:val="1"/>
      <w:numFmt w:val="decimal"/>
      <w:pStyle w:val="20"/>
      <w:suff w:val="space"/>
      <w:lvlText w:val="%1.%2"/>
      <w:lvlJc w:val="left"/>
      <w:pPr>
        <w:ind w:left="992" w:hanging="992"/>
      </w:pPr>
      <w:rPr>
        <w:rFonts w:hint="eastAsia"/>
      </w:rPr>
    </w:lvl>
    <w:lvl w:ilvl="2" w:tentative="0">
      <w:start w:val="1"/>
      <w:numFmt w:val="decimal"/>
      <w:suff w:val="space"/>
      <w:lvlText w:val="%1.%2.%3"/>
      <w:lvlJc w:val="left"/>
      <w:pPr>
        <w:ind w:left="1418" w:hanging="1418"/>
      </w:pPr>
      <w:rPr>
        <w:rFonts w:hint="eastAsia"/>
      </w:rPr>
    </w:lvl>
    <w:lvl w:ilvl="3" w:tentative="0">
      <w:start w:val="1"/>
      <w:numFmt w:val="decimal"/>
      <w:suff w:val="space"/>
      <w:lvlText w:val="%1.%2.%3.%4"/>
      <w:lvlJc w:val="left"/>
      <w:pPr>
        <w:ind w:left="1984" w:hanging="1984"/>
      </w:pPr>
      <w:rPr>
        <w:rFonts w:hint="eastAsia"/>
      </w:rPr>
    </w:lvl>
    <w:lvl w:ilvl="4" w:tentative="0">
      <w:start w:val="1"/>
      <w:numFmt w:val="decimal"/>
      <w:suff w:val="space"/>
      <w:lvlText w:val="%1.%2.%3.%4.%5"/>
      <w:lvlJc w:val="left"/>
      <w:pPr>
        <w:ind w:left="2551" w:hanging="2551"/>
      </w:pPr>
      <w:rPr>
        <w:rFonts w:hint="eastAsia"/>
      </w:rPr>
    </w:lvl>
    <w:lvl w:ilvl="5" w:tentative="0">
      <w:start w:val="1"/>
      <w:numFmt w:val="decimal"/>
      <w:suff w:val="space"/>
      <w:lvlText w:val="%1.%2.%3.%4.%5.%6"/>
      <w:lvlJc w:val="left"/>
      <w:pPr>
        <w:ind w:left="3260" w:hanging="3260"/>
      </w:pPr>
      <w:rPr>
        <w:rFonts w:hint="eastAsia"/>
      </w:rPr>
    </w:lvl>
    <w:lvl w:ilvl="6" w:tentative="0">
      <w:start w:val="1"/>
      <w:numFmt w:val="decimal"/>
      <w:suff w:val="space"/>
      <w:lvlText w:val="%1.%2.%3.%4.%5.%6.%7"/>
      <w:lvlJc w:val="left"/>
      <w:pPr>
        <w:ind w:left="3827" w:hanging="3827"/>
      </w:pPr>
      <w:rPr>
        <w:rFonts w:hint="eastAsia"/>
      </w:rPr>
    </w:lvl>
    <w:lvl w:ilvl="7" w:tentative="0">
      <w:start w:val="1"/>
      <w:numFmt w:val="decimal"/>
      <w:suff w:val="space"/>
      <w:lvlText w:val="%1.%2.%3.%4.%5.%6.%7.%8"/>
      <w:lvlJc w:val="left"/>
      <w:pPr>
        <w:ind w:left="4394" w:hanging="4394"/>
      </w:pPr>
      <w:rPr>
        <w:rFonts w:hint="eastAsia"/>
      </w:rPr>
    </w:lvl>
    <w:lvl w:ilvl="8" w:tentative="0">
      <w:start w:val="1"/>
      <w:numFmt w:val="decimal"/>
      <w:suff w:val="space"/>
      <w:lvlText w:val="%1.%2.%3.%4.%5.%6.%7.%8.%9"/>
      <w:lvlJc w:val="left"/>
      <w:pPr>
        <w:ind w:left="5102" w:hanging="51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20"/>
  <w:drawingGridVerticalSpacing w:val="156"/>
  <w:noPunctuationKerning w:val="1"/>
  <w:characterSpacingControl w:val="doNotCompress"/>
  <w:compat>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B07"/>
    <w:rsid w:val="00490283"/>
    <w:rsid w:val="00A54B07"/>
    <w:rsid w:val="00CF2502"/>
    <w:rsid w:val="087B57D2"/>
    <w:rsid w:val="0C1A5414"/>
    <w:rsid w:val="0E915CBA"/>
    <w:rsid w:val="2FD90FCB"/>
    <w:rsid w:val="55A62E59"/>
    <w:rsid w:val="613672B8"/>
    <w:rsid w:val="713C64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b/>
      <w:bCs/>
      <w:kern w:val="0"/>
      <w:sz w:val="18"/>
      <w:szCs w:val="18"/>
      <w:lang w:val="zh-CN"/>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unhideWhenUsed/>
    <w:qFormat/>
    <w:uiPriority w:val="99"/>
    <w:pPr>
      <w:jc w:val="left"/>
    </w:pPr>
  </w:style>
  <w:style w:type="paragraph" w:styleId="5">
    <w:name w:val="Balloon Text"/>
    <w:basedOn w:val="1"/>
    <w:link w:val="16"/>
    <w:autoRedefine/>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rPr>
      <w:sz w:val="24"/>
    </w:rPr>
  </w:style>
  <w:style w:type="paragraph" w:styleId="9">
    <w:name w:val="annotation subject"/>
    <w:basedOn w:val="4"/>
    <w:next w:val="4"/>
    <w:link w:val="14"/>
    <w:autoRedefine/>
    <w:unhideWhenUsed/>
    <w:qFormat/>
    <w:uiPriority w:val="99"/>
    <w:rPr>
      <w:b/>
      <w:bCs/>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autoRedefine/>
    <w:unhideWhenUsed/>
    <w:qFormat/>
    <w:uiPriority w:val="99"/>
    <w:rPr>
      <w:sz w:val="21"/>
      <w:szCs w:val="21"/>
    </w:rPr>
  </w:style>
  <w:style w:type="character" w:customStyle="1" w:styleId="14">
    <w:name w:val="批注主题 Char"/>
    <w:basedOn w:val="15"/>
    <w:link w:val="9"/>
    <w:semiHidden/>
    <w:qFormat/>
    <w:uiPriority w:val="99"/>
    <w:rPr>
      <w:rFonts w:ascii="Calibri" w:hAnsi="Calibri" w:eastAsia="宋体" w:cs="Times New Roman"/>
      <w:b/>
      <w:bCs/>
      <w:kern w:val="2"/>
      <w:sz w:val="21"/>
      <w:szCs w:val="22"/>
    </w:rPr>
  </w:style>
  <w:style w:type="character" w:customStyle="1" w:styleId="15">
    <w:name w:val="批注文字 Char"/>
    <w:basedOn w:val="12"/>
    <w:link w:val="4"/>
    <w:autoRedefine/>
    <w:semiHidden/>
    <w:qFormat/>
    <w:uiPriority w:val="99"/>
    <w:rPr>
      <w:rFonts w:ascii="Calibri" w:hAnsi="Calibri" w:eastAsia="宋体" w:cs="Times New Roman"/>
      <w:kern w:val="2"/>
      <w:sz w:val="21"/>
      <w:szCs w:val="22"/>
    </w:rPr>
  </w:style>
  <w:style w:type="character" w:customStyle="1" w:styleId="16">
    <w:name w:val="批注框文本 Char"/>
    <w:basedOn w:val="12"/>
    <w:link w:val="5"/>
    <w:semiHidden/>
    <w:qFormat/>
    <w:uiPriority w:val="99"/>
    <w:rPr>
      <w:rFonts w:ascii="Calibri" w:hAnsi="Calibri" w:eastAsia="宋体" w:cs="Times New Roman"/>
      <w:kern w:val="2"/>
      <w:sz w:val="18"/>
      <w:szCs w:val="18"/>
    </w:rPr>
  </w:style>
  <w:style w:type="character" w:customStyle="1" w:styleId="17">
    <w:name w:val="页脚 Char"/>
    <w:basedOn w:val="12"/>
    <w:link w:val="6"/>
    <w:autoRedefine/>
    <w:qFormat/>
    <w:uiPriority w:val="99"/>
    <w:rPr>
      <w:rFonts w:ascii="Calibri" w:hAnsi="Calibri" w:eastAsia="宋体" w:cs="Times New Roman"/>
      <w:kern w:val="2"/>
      <w:sz w:val="18"/>
      <w:szCs w:val="18"/>
    </w:rPr>
  </w:style>
  <w:style w:type="character" w:customStyle="1" w:styleId="18">
    <w:name w:val="页眉 Char"/>
    <w:basedOn w:val="12"/>
    <w:link w:val="7"/>
    <w:qFormat/>
    <w:uiPriority w:val="99"/>
    <w:rPr>
      <w:rFonts w:ascii="Calibri" w:hAnsi="Calibri" w:eastAsia="宋体" w:cs="Times New Roman"/>
      <w:kern w:val="2"/>
      <w:sz w:val="18"/>
      <w:szCs w:val="18"/>
    </w:rPr>
  </w:style>
  <w:style w:type="paragraph" w:customStyle="1" w:styleId="19">
    <w:name w:val="模板-正文"/>
    <w:basedOn w:val="8"/>
    <w:autoRedefine/>
    <w:qFormat/>
    <w:uiPriority w:val="0"/>
    <w:pPr>
      <w:snapToGrid w:val="0"/>
      <w:spacing w:line="360" w:lineRule="auto"/>
      <w:ind w:firstLine="200"/>
    </w:pPr>
    <w:rPr>
      <w:color w:val="222222"/>
      <w:sz w:val="21"/>
      <w:szCs w:val="21"/>
    </w:rPr>
  </w:style>
  <w:style w:type="paragraph" w:customStyle="1" w:styleId="20">
    <w:name w:val="模板-标题 2"/>
    <w:basedOn w:val="3"/>
    <w:qFormat/>
    <w:uiPriority w:val="0"/>
    <w:pPr>
      <w:numPr>
        <w:ilvl w:val="1"/>
        <w:numId w:val="1"/>
      </w:numPr>
      <w:spacing w:beforeAutospacing="0"/>
      <w:ind w:left="0" w:firstLine="0"/>
      <w:jc w:val="both"/>
    </w:pPr>
    <w:rPr>
      <w:color w:val="222222"/>
      <w:sz w:val="24"/>
    </w:rPr>
  </w:style>
  <w:style w:type="paragraph" w:customStyle="1" w:styleId="21">
    <w:name w:val="模板-标题 1"/>
    <w:basedOn w:val="2"/>
    <w:qFormat/>
    <w:uiPriority w:val="0"/>
    <w:pPr>
      <w:keepNext w:val="0"/>
      <w:keepLines w:val="0"/>
      <w:widowControl/>
      <w:numPr>
        <w:ilvl w:val="0"/>
        <w:numId w:val="1"/>
      </w:numPr>
      <w:adjustRightInd w:val="0"/>
      <w:spacing w:before="100" w:beforeAutospacing="1" w:after="100" w:afterAutospacing="1" w:line="240" w:lineRule="auto"/>
      <w:ind w:left="100" w:hanging="100"/>
      <w:jc w:val="center"/>
    </w:pPr>
    <w:rPr>
      <w:rFonts w:ascii="宋体" w:hAnsi="宋体"/>
      <w:color w:val="222222"/>
      <w:kern w:val="36"/>
      <w:sz w:val="28"/>
      <w:szCs w:val="24"/>
    </w:rPr>
  </w:style>
  <w:style w:type="paragraph" w:styleId="22">
    <w:name w:val="List Paragraph"/>
    <w:basedOn w:val="1"/>
    <w:autoRedefine/>
    <w:qFormat/>
    <w:uiPriority w:val="34"/>
    <w:pPr>
      <w:ind w:firstLine="420"/>
    </w:pPr>
  </w:style>
  <w:style w:type="paragraph" w:customStyle="1" w:styleId="23">
    <w:name w:val="Default"/>
    <w:qFormat/>
    <w:uiPriority w:val="0"/>
    <w:pPr>
      <w:widowControl w:val="0"/>
      <w:autoSpaceDE w:val="0"/>
      <w:autoSpaceDN w:val="0"/>
      <w:adjustRightInd w:val="0"/>
    </w:pPr>
    <w:rPr>
      <w:rFonts w:ascii="楷体_GB2312" w:hAnsi="楷体_GB2312" w:eastAsia="宋体" w:cs="楷体_GB2312"/>
      <w:color w:val="000000"/>
      <w:sz w:val="24"/>
      <w:szCs w:val="24"/>
      <w:lang w:val="en-US" w:eastAsia="zh-CN" w:bidi="ar-SA"/>
    </w:rPr>
  </w:style>
  <w:style w:type="character" w:styleId="24">
    <w:name w:val="Placeholder Text"/>
    <w:basedOn w:val="12"/>
    <w:autoRedefine/>
    <w:unhideWhenUsed/>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5</Pages>
  <Words>391</Words>
  <Characters>2232</Characters>
  <Lines>18</Lines>
  <Paragraphs>5</Paragraphs>
  <TotalTime>0</TotalTime>
  <ScaleCrop>false</ScaleCrop>
  <LinksUpToDate>false</LinksUpToDate>
  <CharactersWithSpaces>2618</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2022-12-30T01:52:00Z</dcterms:created>
  <dc:creator>Administrator</dc:creator>
  <cp:lastModifiedBy>璟儿</cp:lastModifiedBy>
  <cp:lastPrinted>2113-01-01T00:00:00Z</cp:lastPrinted>
  <dcterms:modified xsi:type="dcterms:W3CDTF">2024-04-25T01:33:33Z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93EFE66635E5444698FB92DDDE3E0E31_13</vt:lpwstr>
  </property>
  <property fmtid="{D5CDD505-2E9C-101B-9397-08002B2CF9AE}" pid="3" name="KSOProductBuildVer">
    <vt:lpwstr>2052-12.1.0.16364</vt:lpwstr>
  </property>
</Properties>
</file>