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恒丰理财增享系列第58期理财产品</w:t>
      </w:r>
    </w:p>
    <w:p>
      <w:pPr>
        <w:jc w:val="center"/>
        <w:rPr>
          <w:rFonts w:ascii="微软雅黑" w:hAnsi="微软雅黑" w:eastAsia="微软雅黑"/>
          <w:b/>
          <w:sz w:val="28"/>
          <w:szCs w:val="28"/>
        </w:rPr>
      </w:pPr>
      <w:r>
        <w:rPr>
          <w:rFonts w:hint="eastAsia" w:ascii="黑体" w:hAnsi="黑体" w:eastAsia="黑体" w:cs="黑体"/>
          <w:b/>
          <w:sz w:val="36"/>
          <w:szCs w:val="36"/>
        </w:rPr>
        <w:t>2022年</w:t>
      </w:r>
      <w:r>
        <w:rPr>
          <w:rFonts w:hint="eastAsia" w:ascii="黑体" w:hAnsi="黑体" w:eastAsia="黑体" w:cs="黑体"/>
          <w:b/>
          <w:sz w:val="36"/>
          <w:szCs w:val="36"/>
          <w:lang w:val="en-US" w:eastAsia="zh-CN"/>
        </w:rPr>
        <w:t>年度</w:t>
      </w:r>
      <w:r>
        <w:rPr>
          <w:rFonts w:hint="eastAsia" w:ascii="黑体" w:hAnsi="黑体" w:eastAsia="黑体" w:cs="黑体"/>
          <w:b/>
          <w:sz w:val="36"/>
          <w:szCs w:val="36"/>
        </w:rPr>
        <w:t>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产品管理人：恒丰理财有限责任公司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报告期：2022年</w:t>
      </w:r>
      <w:r>
        <w:rPr>
          <w:rFonts w:hint="eastAsia" w:ascii="宋体" w:hAnsi="宋体" w:cs="宋体"/>
          <w:b/>
          <w:sz w:val="24"/>
          <w:szCs w:val="24"/>
          <w:lang w:val="en-US" w:eastAsia="zh-CN"/>
        </w:rPr>
        <w:t>01</w:t>
      </w:r>
      <w:r>
        <w:rPr>
          <w:rFonts w:hint="eastAsia"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产品名称</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恒丰理财增享系列第58期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产品代码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ZX22058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产品登记编码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Z7008122000018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产品类型</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募集方式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产品运作模式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风险等级</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成立日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2022年07月12日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到期日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2023年08月18日</w:t>
            </w:r>
          </w:p>
        </w:tc>
      </w:tr>
    </w:tbl>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315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理财产品总份额: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198,103,000.00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106,109,200.00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91,933,800.00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198,193,669.79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106,146,116.44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59,979.68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91,987,573.67</w:t>
            </w:r>
          </w:p>
        </w:tc>
      </w:tr>
    </w:tbl>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188,814,962.75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95.12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188,060,553.13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9,682,663.33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4.88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10,437,072.95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198,497,626.08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198,497,626.08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信达金融租赁同业借款项目</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60,373,333.33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中诚信托永成12号3期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35,210,575.34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4,164,569.98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19华夏银行永续债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3,487,755.40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3,212,220.43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富国沪深300增强A</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2,747,498.78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万家中证1000指数增强A</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1,711,502.89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20莲湖01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1,687,553.99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20天投债01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1,685,526.04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20融控02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1,683,339.43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0.85 </w:t>
            </w:r>
          </w:p>
        </w:tc>
      </w:tr>
    </w:tbl>
    <w:p>
      <w:pPr>
        <w:rPr>
          <w:rFonts w:ascii="宋体" w:hAnsi="宋体" w:cs="宋体"/>
          <w:sz w:val="24"/>
          <w:szCs w:val="24"/>
        </w:rPr>
      </w:pPr>
      <w:r>
        <w:rPr>
          <w:rFonts w:hint="eastAsia" w:ascii="宋体" w:hAnsi="宋体" w:cs="宋体"/>
          <w:b/>
          <w:sz w:val="24"/>
          <w:szCs w:val="24"/>
        </w:rPr>
        <w:t>五、非标准化债权类资产情况</w:t>
      </w:r>
    </w:p>
    <w:tbl>
      <w:tblPr>
        <w:tblStyle w:val="10"/>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73"/>
        <w:gridCol w:w="1609"/>
        <w:gridCol w:w="1241"/>
        <w:gridCol w:w="1486"/>
        <w:gridCol w:w="102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序号</w:t>
            </w:r>
          </w:p>
        </w:tc>
        <w:tc>
          <w:tcPr>
            <w:tcW w:w="1473" w:type="dxa"/>
            <w:shd w:val="clear" w:color="auto" w:fill="auto"/>
            <w:noWrap/>
            <w:vAlign w:val="center"/>
          </w:tcPr>
          <w:p>
            <w:pPr>
              <w:jc w:val="center"/>
              <w:rPr>
                <w:rFonts w:ascii="宋体" w:hAnsi="宋体"/>
                <w:szCs w:val="10"/>
              </w:rPr>
            </w:pPr>
            <w:r>
              <w:rPr>
                <w:rFonts w:hint="eastAsia" w:ascii="宋体" w:hAnsi="宋体"/>
                <w:szCs w:val="10"/>
              </w:rPr>
              <w:t>融资客户名称</w:t>
            </w:r>
          </w:p>
        </w:tc>
        <w:tc>
          <w:tcPr>
            <w:tcW w:w="1609" w:type="dxa"/>
            <w:shd w:val="clear" w:color="auto" w:fill="auto"/>
            <w:noWrap/>
            <w:vAlign w:val="center"/>
          </w:tcPr>
          <w:p>
            <w:pPr>
              <w:jc w:val="center"/>
              <w:rPr>
                <w:rFonts w:ascii="宋体" w:hAnsi="宋体"/>
                <w:szCs w:val="10"/>
              </w:rPr>
            </w:pPr>
            <w:r>
              <w:rPr>
                <w:rFonts w:hint="eastAsia" w:ascii="宋体" w:hAnsi="宋体"/>
                <w:szCs w:val="10"/>
              </w:rPr>
              <w:t>项目名称</w:t>
            </w:r>
          </w:p>
        </w:tc>
        <w:tc>
          <w:tcPr>
            <w:tcW w:w="1241" w:type="dxa"/>
            <w:shd w:val="clear" w:color="auto" w:fill="auto"/>
            <w:noWrap/>
            <w:vAlign w:val="center"/>
          </w:tcPr>
          <w:p>
            <w:pPr>
              <w:jc w:val="center"/>
              <w:rPr>
                <w:rFonts w:ascii="宋体" w:hAnsi="宋体"/>
                <w:szCs w:val="10"/>
              </w:rPr>
            </w:pPr>
            <w:r>
              <w:rPr>
                <w:rFonts w:hint="eastAsia" w:ascii="宋体" w:hAnsi="宋体"/>
                <w:szCs w:val="10"/>
              </w:rPr>
              <w:t>剩余融资期限（天）</w:t>
            </w:r>
          </w:p>
        </w:tc>
        <w:tc>
          <w:tcPr>
            <w:tcW w:w="1486" w:type="dxa"/>
            <w:shd w:val="clear" w:color="auto" w:fill="auto"/>
            <w:noWrap/>
            <w:vAlign w:val="center"/>
          </w:tcPr>
          <w:p>
            <w:pPr>
              <w:jc w:val="center"/>
              <w:rPr>
                <w:rFonts w:ascii="宋体" w:hAnsi="宋体"/>
                <w:szCs w:val="10"/>
              </w:rPr>
            </w:pPr>
            <w:r>
              <w:rPr>
                <w:rFonts w:hint="eastAsia" w:ascii="宋体" w:hAnsi="宋体"/>
                <w:szCs w:val="10"/>
              </w:rPr>
              <w:t>交易金额</w:t>
            </w:r>
          </w:p>
        </w:tc>
        <w:tc>
          <w:tcPr>
            <w:tcW w:w="1023" w:type="dxa"/>
            <w:shd w:val="clear" w:color="auto" w:fill="auto"/>
            <w:noWrap/>
            <w:vAlign w:val="center"/>
          </w:tcPr>
          <w:p>
            <w:pPr>
              <w:jc w:val="center"/>
              <w:rPr>
                <w:rFonts w:ascii="宋体" w:hAnsi="宋体"/>
                <w:szCs w:val="10"/>
              </w:rPr>
            </w:pPr>
            <w:r>
              <w:rPr>
                <w:rFonts w:hint="eastAsia" w:ascii="宋体" w:hAnsi="宋体"/>
                <w:szCs w:val="10"/>
              </w:rPr>
              <w:t>交易结构</w:t>
            </w:r>
          </w:p>
        </w:tc>
        <w:tc>
          <w:tcPr>
            <w:tcW w:w="714" w:type="dxa"/>
            <w:shd w:val="clear" w:color="auto" w:fill="auto"/>
            <w:noWrap/>
            <w:vAlign w:val="center"/>
          </w:tcPr>
          <w:p>
            <w:pPr>
              <w:jc w:val="center"/>
              <w:rPr>
                <w:rFonts w:ascii="宋体" w:hAnsi="宋体"/>
                <w:szCs w:val="10"/>
              </w:rPr>
            </w:pPr>
            <w:r>
              <w:rPr>
                <w:rFonts w:hint="eastAsia" w:ascii="宋体" w:hAnsi="宋体"/>
                <w:szCs w:val="10"/>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 w:val="38"/>
              </w:rPr>
            </w:pPr>
            <w:r>
              <w:rPr>
                <w:rFonts w:hint="eastAsia" w:ascii="宋体" w:hAnsi="宋体"/>
                <w:szCs w:val="10"/>
              </w:rPr>
              <w:t>1</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信达金融租赁有限公司</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信达金租同业借款</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11</w:t>
            </w:r>
          </w:p>
        </w:tc>
        <w:tc>
          <w:tcPr>
            <w:tcW w:w="1486" w:type="dxa"/>
            <w:shd w:val="clear" w:color="auto" w:fill="auto"/>
            <w:noWrap/>
            <w:vAlign w:val="center"/>
          </w:tcPr>
          <w:p>
            <w:pPr>
              <w:widowControl/>
              <w:jc w:val="center"/>
              <w:textAlignment w:val="center"/>
              <w:rPr>
                <w:rFonts w:ascii="等线" w:hAnsi="等线" w:eastAsia="等线" w:cs="等线"/>
                <w:color w:val="000000"/>
                <w:sz w:val="22"/>
              </w:rPr>
            </w:pPr>
            <w:r>
              <w:rPr>
                <w:rFonts w:hint="eastAsia" w:ascii="宋体" w:hAnsi="宋体" w:cs="宋体"/>
                <w:color w:val="000000"/>
                <w:kern w:val="0"/>
                <w:sz w:val="22"/>
              </w:rPr>
              <w:t xml:space="preserve">60000000.00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发放同业借款</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2</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信托计划所投资的消费授信付款资产的借款人</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中诚信托永成12号集合资金信托计划第</w:t>
            </w:r>
            <w:r>
              <w:rPr>
                <w:rStyle w:val="25"/>
                <w:rFonts w:hint="default"/>
              </w:rPr>
              <w:t>3期</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137 </w:t>
            </w:r>
          </w:p>
        </w:tc>
        <w:tc>
          <w:tcPr>
            <w:tcW w:w="1486" w:type="dxa"/>
            <w:shd w:val="clear" w:color="auto" w:fill="auto"/>
            <w:noWrap/>
            <w:vAlign w:val="center"/>
          </w:tcPr>
          <w:p>
            <w:pPr>
              <w:widowControl/>
              <w:jc w:val="center"/>
              <w:textAlignment w:val="center"/>
              <w:rPr>
                <w:rFonts w:ascii="等线" w:hAnsi="等线" w:eastAsia="等线" w:cs="等线"/>
                <w:color w:val="000000"/>
                <w:kern w:val="0"/>
                <w:sz w:val="22"/>
              </w:rPr>
            </w:pPr>
            <w:r>
              <w:rPr>
                <w:rFonts w:hint="eastAsia" w:ascii="宋体" w:hAnsi="宋体" w:cs="宋体"/>
                <w:color w:val="000000"/>
                <w:kern w:val="0"/>
                <w:sz w:val="22"/>
              </w:rPr>
              <w:t xml:space="preserve">35000000.00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理财资金→信托计划→购买消费授信付款资产</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bl>
    <w:p>
      <w:pPr>
        <w:rPr>
          <w:rFonts w:ascii="宋体" w:hAnsi="宋体" w:cs="宋体"/>
          <w:b/>
          <w:sz w:val="24"/>
          <w:szCs w:val="24"/>
        </w:rPr>
      </w:pPr>
      <w:r>
        <w:rPr>
          <w:rFonts w:hint="eastAsia" w:ascii="宋体" w:hAnsi="宋体" w:cs="宋体"/>
          <w:b/>
          <w:sz w:val="24"/>
          <w:szCs w:val="24"/>
        </w:rPr>
        <w:t>六、报告期内关联交易情况</w:t>
      </w:r>
    </w:p>
    <w:p>
      <w:pPr>
        <w:ind w:firstLine="480"/>
        <w:rPr>
          <w:rFonts w:ascii="宋体" w:hAnsi="宋体" w:cs="宋体"/>
          <w:sz w:val="24"/>
          <w:szCs w:val="24"/>
        </w:rPr>
      </w:pPr>
      <w:r>
        <w:rPr>
          <w:rFonts w:hint="eastAsia" w:ascii="宋体" w:hAnsi="宋体" w:cs="宋体"/>
          <w:sz w:val="24"/>
          <w:szCs w:val="24"/>
        </w:rPr>
        <w:t>无</w:t>
      </w:r>
    </w:p>
    <w:p>
      <w:pPr>
        <w:rPr>
          <w:rFonts w:ascii="宋体" w:hAnsi="宋体" w:cs="宋体"/>
          <w:b/>
          <w:sz w:val="24"/>
          <w:szCs w:val="24"/>
        </w:rPr>
      </w:pPr>
      <w:r>
        <w:rPr>
          <w:rFonts w:hint="eastAsia" w:ascii="宋体" w:hAnsi="宋体" w:cs="宋体"/>
          <w:b/>
          <w:sz w:val="24"/>
          <w:szCs w:val="24"/>
        </w:rPr>
        <w:t>七、投资账户信息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恒丰银行股份有限公司恒丰银行增享系列第58期</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50050101100100000069</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恒丰银行重庆分行营业部</w:t>
            </w:r>
          </w:p>
        </w:tc>
      </w:tr>
    </w:tbl>
    <w:p>
      <w:pPr>
        <w:rPr>
          <w:rFonts w:ascii="宋体" w:hAnsi="宋体" w:cs="宋体"/>
          <w:b/>
          <w:sz w:val="24"/>
          <w:szCs w:val="24"/>
        </w:rPr>
      </w:pPr>
      <w:r>
        <w:rPr>
          <w:rFonts w:hint="eastAsia" w:ascii="宋体" w:hAnsi="宋体" w:cs="宋体"/>
          <w:b/>
          <w:sz w:val="24"/>
          <w:szCs w:val="24"/>
        </w:rPr>
        <w:t>八、产品整体运作情况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b/>
          <w:bCs/>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r>
        <w:rPr>
          <w:rFonts w:hint="eastAsia" w:ascii="宋体" w:hAnsi="宋体" w:cs="宋体"/>
          <w:b/>
          <w:bCs/>
          <w:sz w:val="24"/>
          <w:szCs w:val="24"/>
        </w:rPr>
        <w:t>九、投资组合的流动性分析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ind w:firstLine="480"/>
        <w:rPr>
          <w:rFonts w:ascii="宋体" w:hAnsi="宋体" w:cs="宋体"/>
          <w:sz w:val="24"/>
          <w:szCs w:val="24"/>
        </w:rPr>
      </w:pPr>
    </w:p>
    <w:p>
      <w:pPr>
        <w:ind w:firstLine="5760" w:firstLineChars="2400"/>
        <w:rPr>
          <w:rFonts w:ascii="宋体" w:hAnsi="宋体" w:cs="宋体"/>
          <w:sz w:val="24"/>
          <w:szCs w:val="24"/>
        </w:rPr>
      </w:pPr>
      <w:r>
        <w:rPr>
          <w:rFonts w:hint="eastAsia" w:ascii="宋体" w:hAnsi="宋体" w:cs="宋体"/>
          <w:sz w:val="24"/>
          <w:szCs w:val="24"/>
        </w:rPr>
        <w:t>恒丰理财有限责任公司</w:t>
      </w:r>
    </w:p>
    <w:p>
      <w:pPr>
        <w:ind w:firstLine="6000" w:firstLineChars="2500"/>
        <w:rPr>
          <w:rFonts w:ascii="宋体" w:hAnsi="宋体" w:cs="宋体"/>
          <w:sz w:val="24"/>
          <w:szCs w:val="24"/>
        </w:rPr>
      </w:pPr>
      <w:r>
        <w:rPr>
          <w:rFonts w:hint="eastAsia" w:ascii="宋体" w:hAnsi="宋体" w:cs="宋体"/>
          <w:sz w:val="24"/>
          <w:szCs w:val="24"/>
        </w:rPr>
        <w:t>2023年0</w:t>
      </w:r>
      <w:r>
        <w:rPr>
          <w:rFonts w:hint="eastAsia" w:ascii="宋体" w:hAnsi="宋体" w:cs="宋体"/>
          <w:sz w:val="24"/>
          <w:szCs w:val="24"/>
          <w:lang w:val="en-US" w:eastAsia="zh-CN"/>
        </w:rPr>
        <w:t>3</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w:t>
      </w:r>
    </w:p>
    <w:p>
      <w:pPr>
        <w:ind w:firstLine="5280"/>
        <w:rPr>
          <w:rFonts w:ascii="宋体" w:hAnsi="宋体" w:cs="宋体"/>
          <w:sz w:val="24"/>
          <w:szCs w:val="24"/>
        </w:rPr>
      </w:pPr>
    </w:p>
    <w:p>
      <w:pPr>
        <w:ind w:firstLine="5280"/>
        <w:rPr>
          <w:rFonts w:ascii="宋体" w:hAnsi="宋体" w:cs="宋体"/>
          <w:sz w:val="24"/>
          <w:szCs w:val="24"/>
        </w:rPr>
      </w:pP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本报告内容仅供报告阅读者参考，一切商业决策均将由报告阅读者综合各方信息后自行作出，对于本报告所提供的信息导致的任何直接或间接的后果，管理人恒丰理财有限责任公司不承担任何责任。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理财有限责任公司，且不得对本报告进行有悖原意的引用、删节和修改。</w:t>
      </w:r>
    </w:p>
    <w:p>
      <w:pPr>
        <w:spacing w:line="360" w:lineRule="auto"/>
        <w:ind w:firstLine="480"/>
        <w:rPr>
          <w:szCs w:val="21"/>
        </w:rPr>
      </w:pPr>
      <w:r>
        <w:rPr>
          <w:rFonts w:hint="eastAsia" w:ascii="宋体" w:hAnsi="宋体" w:cs="宋体"/>
          <w:sz w:val="24"/>
          <w:szCs w:val="24"/>
        </w:rPr>
        <w:t>管理人恒丰理财有限责任公司对于本免责声明条款具有修改和最终解释权。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22507D"/>
    <w:rsid w:val="00C10359"/>
    <w:rsid w:val="00FA1235"/>
    <w:rsid w:val="096A0050"/>
    <w:rsid w:val="3DA75C1D"/>
    <w:rsid w:val="4A356821"/>
    <w:rsid w:val="4B974814"/>
    <w:rsid w:val="4E4346ED"/>
    <w:rsid w:val="55982D5E"/>
    <w:rsid w:val="5F113A22"/>
    <w:rsid w:val="74443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unhideWhenUsed/>
    <w:qFormat/>
    <w:uiPriority w:val="99"/>
    <w:rPr>
      <w:color w:val="808080"/>
    </w:rPr>
  </w:style>
  <w:style w:type="character" w:customStyle="1" w:styleId="25">
    <w:name w:val="font0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391</Words>
  <Characters>2230</Characters>
  <Lines>18</Lines>
  <Paragraphs>5</Paragraphs>
  <TotalTime>5</TotalTime>
  <ScaleCrop>false</ScaleCrop>
  <LinksUpToDate>false</LinksUpToDate>
  <CharactersWithSpaces>2616</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2022-12-30T01:52:00Z</dcterms:created>
  <dc:creator>Administrator</dc:creator>
  <cp:lastModifiedBy>璟儿</cp:lastModifiedBy>
  <cp:lastPrinted>2113-01-01T00:00:00Z</cp:lastPrinted>
  <dcterms:modified xsi:type="dcterms:W3CDTF">2024-04-25T01:39:37Z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F5AB4051953F433784D7A488B4DD995B_13</vt:lpwstr>
  </property>
  <property fmtid="{D5CDD505-2E9C-101B-9397-08002B2CF9AE}" pid="3" name="KSOProductBuildVer">
    <vt:lpwstr>2052-12.1.0.16364</vt:lpwstr>
  </property>
</Properties>
</file>