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恒丰银行增享系列第18期</w:t>
      </w:r>
    </w:p>
    <w:p>
      <w:pPr>
        <w:jc w:val="center"/>
        <w:rPr>
          <w:rFonts w:ascii="微软雅黑" w:hAnsi="微软雅黑" w:eastAsia="微软雅黑"/>
          <w:b/>
          <w:sz w:val="28"/>
          <w:szCs w:val="28"/>
        </w:rPr>
      </w:pP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一、</w:t>
      </w:r>
      <w:r>
        <w:rPr>
          <w:rFonts w:hint="eastAsia" w:ascii="宋体" w:hAnsi="宋体" w:cs="宋体"/>
          <w:b/>
          <w:sz w:val="24"/>
          <w:szCs w:val="24"/>
        </w:rPr>
        <w:t>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恒丰银行增享系列第18期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C1031522000047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成立</w:t>
            </w:r>
            <w:r>
              <w:rPr>
                <w:rFonts w:hint="eastAsia" w:ascii="宋体" w:hAnsi="宋体" w:cs="宋体"/>
                <w:kern w:val="0"/>
                <w:sz w:val="24"/>
                <w:szCs w:val="24"/>
              </w:rPr>
              <w:t>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2022年03月08日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2025年02月14日</w:t>
            </w:r>
          </w:p>
        </w:tc>
      </w:tr>
    </w:tbl>
    <w:p>
      <w:pPr>
        <w:pStyle w:val="22"/>
        <w:ind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二、</w:t>
      </w:r>
      <w:r>
        <w:rPr>
          <w:rFonts w:hint="eastAsia" w:ascii="宋体" w:hAnsi="宋体" w:cs="宋体"/>
          <w:b/>
          <w:sz w:val="24"/>
          <w:szCs w:val="24"/>
        </w:rPr>
        <w:t>产品存续规模和净值表现</w:t>
      </w:r>
    </w:p>
    <w:p>
      <w:pPr>
        <w:ind w:firstLine="480"/>
        <w:rPr>
          <w:rFonts w:hint="eastAsia" w:ascii="宋体" w:hAnsi="宋体" w:eastAsia="宋体" w:cs="宋体"/>
          <w:sz w:val="24"/>
          <w:szCs w:val="24"/>
          <w:lang w:eastAsia="zh-CN"/>
        </w:rPr>
      </w:pPr>
      <w:r>
        <w:rPr>
          <w:rFonts w:hint="eastAsia" w:ascii="宋体" w:hAnsi="宋体" w:cs="宋体"/>
          <w:sz w:val="24"/>
          <w:szCs w:val="24"/>
        </w:rPr>
        <w:t>截至报告期末，理财产品存续规模及净值表现如下</w:t>
      </w:r>
      <w:r>
        <w:rPr>
          <w:rFonts w:hint="eastAsia" w:ascii="宋体" w:hAnsi="宋体" w:cs="宋体"/>
          <w:sz w:val="24"/>
          <w:szCs w:val="24"/>
          <w:lang w:eastAsia="zh-CN"/>
        </w:rPr>
        <w:t>：</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144,845,900.00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146,868,875.28</w:t>
            </w:r>
          </w:p>
        </w:tc>
      </w:tr>
    </w:tbl>
    <w:p>
      <w:pPr>
        <w:pStyle w:val="22"/>
        <w:ind w:firstLine="0"/>
        <w:rPr>
          <w:rFonts w:ascii="宋体" w:hAnsi="宋体" w:cs="宋体"/>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143,252,171.69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97.03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142,935,063.25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96.82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4,378,672.03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2.97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4,695,780.47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147,630,843.72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147,630,843.72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山东国惠投资控股集团有限公司2022年度第二期债权融资计划(总价)</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25,781,816.15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6,407,100.90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5,050,666.72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19华夏银行永续债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4,119,663.26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20天投债01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2,046,691.52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20融控02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1,999,467.36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20莲湖01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1,993,303.25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20荣成02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1,966,820.61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19威海商行永续债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1,957,782.33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创金合信信用红利债券A</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1,937,970.09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1.32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恒丰银行股份有限公司恒丰银行增享系列第18期理财产品</w:t>
            </w:r>
          </w:p>
        </w:tc>
        <w:tc>
          <w:tcPr>
            <w:tcW w:w="2456" w:type="dxa"/>
            <w:vAlign w:val="center"/>
          </w:tcPr>
          <w:p>
            <w:pPr>
              <w:jc w:val="center"/>
              <w:rPr>
                <w:rFonts w:ascii="宋体" w:hAnsi="宋体" w:cs="宋体"/>
                <w:bCs/>
                <w:sz w:val="24"/>
                <w:szCs w:val="24"/>
              </w:rPr>
            </w:pPr>
            <w:r>
              <w:rPr>
                <w:rFonts w:ascii="宋体" w:hAnsi="宋体" w:cs="宋体"/>
                <w:bCs/>
                <w:sz w:val="24"/>
                <w:szCs w:val="24"/>
              </w:rPr>
              <w:t>37150101100100000046</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恒丰银行青岛分行营业部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2023年0</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lang w:val="en-US" w:eastAsia="zh-CN"/>
        </w:rPr>
        <w:t>14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MWNkMWYzZmYwMmQ5ODJiZGQ4N2FjNzYwZjMwN2QifQ=="/>
  </w:docVars>
  <w:rsids>
    <w:rsidRoot w:val="00000000"/>
    <w:rsid w:val="166C463E"/>
    <w:rsid w:val="6E774D01"/>
    <w:rsid w:val="7798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14"/>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99"/>
    <w:rPr>
      <w:sz w:val="21"/>
      <w:szCs w:val="21"/>
    </w:rPr>
  </w:style>
  <w:style w:type="character" w:customStyle="1" w:styleId="14">
    <w:name w:val="批注主题 Char"/>
    <w:basedOn w:val="15"/>
    <w:link w:val="9"/>
    <w:autoRedefine/>
    <w:semiHidden/>
    <w:qFormat/>
    <w:uiPriority w:val="99"/>
    <w:rPr>
      <w:rFonts w:ascii="Calibri" w:hAnsi="Calibri" w:eastAsia="宋体" w:cs="Times New Roman"/>
      <w:b/>
      <w:bCs/>
      <w:kern w:val="2"/>
      <w:sz w:val="21"/>
      <w:szCs w:val="22"/>
    </w:rPr>
  </w:style>
  <w:style w:type="character" w:customStyle="1" w:styleId="15">
    <w:name w:val="批注文字 Char"/>
    <w:basedOn w:val="12"/>
    <w:link w:val="4"/>
    <w:semiHidden/>
    <w:qFormat/>
    <w:uiPriority w:val="99"/>
    <w:rPr>
      <w:rFonts w:ascii="Calibri" w:hAnsi="Calibri" w:eastAsia="宋体" w:cs="Times New Roman"/>
      <w:kern w:val="2"/>
      <w:sz w:val="21"/>
      <w:szCs w:val="22"/>
    </w:rPr>
  </w:style>
  <w:style w:type="character" w:customStyle="1" w:styleId="16">
    <w:name w:val="批注框文本 Char"/>
    <w:basedOn w:val="12"/>
    <w:link w:val="5"/>
    <w:autoRedefine/>
    <w:semiHidden/>
    <w:qFormat/>
    <w:uiPriority w:val="99"/>
    <w:rPr>
      <w:rFonts w:ascii="Calibri" w:hAnsi="Calibri" w:eastAsia="宋体" w:cs="Times New Roman"/>
      <w:kern w:val="2"/>
      <w:sz w:val="18"/>
      <w:szCs w:val="18"/>
    </w:rPr>
  </w:style>
  <w:style w:type="character" w:customStyle="1" w:styleId="17">
    <w:name w:val="页脚 Char"/>
    <w:basedOn w:val="12"/>
    <w:link w:val="6"/>
    <w:autoRedefine/>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autoRedefine/>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autoRedefine/>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1448</Words>
  <Characters>727</Characters>
  <Lines>6</Lines>
  <Paragraphs>4</Paragraphs>
  <TotalTime>2</TotalTime>
  <ScaleCrop>false</ScaleCrop>
  <LinksUpToDate>false</LinksUpToDate>
  <CharactersWithSpaces>2171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2024-04-25T01:58:37Z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DF68BE574D124214B0B537F95FCC32F7_13</vt:lpwstr>
  </property>
  <property fmtid="{D5CDD505-2E9C-101B-9397-08002B2CF9AE}" pid="3" name="KSOProductBuildVer">
    <vt:lpwstr>2052-12.1.0.16364</vt:lpwstr>
  </property>
</Properties>
</file>