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兴银理财悦动增强18个月3号定期开放固收类理财产品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兴银理财悦动增强18个月3号定期开放固收类理财产品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156,341,172.03份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9K22043A：个人定期(整存整取)一年+2.95%/4.45%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悦动增强18个月3号A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156,341,172.03</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产品9K22043A自成立日以来，累计净值增长率为3.8730%，年化累计净值增长率为3.4563%。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162,396,457.04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162,396,457.04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+10%衍生品套利策略。产品目前久期1.2年，杠杆120%。展望后市，目前市场仍然处于复苏的初期。利率大概率在一季度数据公布后下行明显，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10,222,277.53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G22三资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10,097,249.18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9,015,477.05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8,477,678.90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8,174,583.45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8,004,581.25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7,222,831.86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7,119,503.81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6,994,714.28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6,054,882.41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兴银理财悦动增强18个月3号定期开放固收类理财产品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兴银理财悦动增强18个月3号定期开放固收类理财产品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兴银理财悦动增强18个月3号定期开放固收类理财产品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