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1,044,850,411.09份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产品9K221003自成立日以来，累计净值增长率为-3.9250%，年化累计净值增长率为-1.7157%。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0.96075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0.96075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1,003,843,593.34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11年，曾在中国金融期货交易所工作，是股指期货、股指期权的开发和上市的核心团队成员，在量化投资和衍生品投资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指数整体处于震荡行情，一季度在经济强复苏的预期下有一波上涨，二季度由于经济实际运行数据呈现出经济弱复苏迹象低于预期有所回调。近期李强总理主持召开经济形势专家会，认为我国经济呈回升向好的态势，提出要打好政策“组合拳”，进一步提升信心和稳定预期，因此预计今年下半年会陆续出台提振经济的相关政策，结合目前整体经济的复苏形势，下半年的经济整体表现会好于上半年。并且指数成分股中“专精特新”企业较多，具有较好的成长性。预计今年下半年指数的表现会好于二季度</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银华日利A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23,530,379.61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20,509,965.30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汇添富双颐债券A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9,987,384.33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汇添富双鑫添利债券A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7,573,171.80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华贸物流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7,155,318.92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迦南科技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3,960,911.36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光电股份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3,746,779.16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华微电子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3,497,754.71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北矿科技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3,465,553.05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天箭科技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3,447,474.18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