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71,781,369.71份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9K221127：3.50%--5.50%/5.50%</w:t>
              <w:br/>
              <w:t xml:space="preserve">  9K221227：3.50%--5.50%/5.50%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64,797,091.06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6,984,278.65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产品9K221127自成立日以来，累计净值增长率为7.8130%，年化累计净值增长率为4.3671%。</w:t>
              <w:br/>
              <w:t xml:space="preserve">产品9K221227自成立日以来，累计净值增长率为8.1810%，年化累计净值增长率为4.5728%。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77,415,271.24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69,859,614.07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7,555,657.17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t xml:space="preserve">二、组合策略。</w:t>
              <w:br/>
              <w:t xml:space="preserve">    增盈优选27号采用高仓位债券资产，久期0.5-1.5年；权益仓位低于5%，结构中，整体配置较为均衡，增加了中特估、TMT等行业配置比例，提升组合进攻性。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14,105,460.27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10,060,056.30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7,149,928.40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4,990,995.19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4,231,290.03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4,118,303.95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3,122,590.52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3,116,359.97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3,105,460.40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3,088,410.86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