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兴银理财增盈优选28号净值型理财产品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兴银理财增盈优选28号净值型理财产品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9K221028</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Z7002021000119</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607,985,268.6份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9K221128：5.60%/5.60%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增盈优选28号A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9K221128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607,985,268.60</w:t>
                        </w:r>
                      </w:p>
                    </w:tc>
                  </w:tr>
                </w:tbl>
                <w:p>
                  <w:pPr>
                    <w:pStyle w:val="EMPTY_CELL_STYLE"/>
                  </w:pPr>
                </w:p>
              </w:tc>
            </w:tr>
          </w:tbl>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产品9K221128自成立日以来，累计净值增长率为5.2050%，年化累计净值增长率为4.0336%。</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1.05205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1.05205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639,632,820.41</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9K221128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1.05205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1.05205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639,632,820.41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13年固收、权益投资交易经验。2020年7月加入兴业银行理财子公司，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上半年，权益市场方面，随着强预期弱现实的此消彼长。指数冲高回落，走出前高后低的走势。结构上更偏以TMT为首的成长板块。债市去年年底大跌回调后，今年上半年几乎一直处于高歌猛进的状态，但6月上旬降息落地后走出一波冲高回落的走势，收益率暂未突破年内新低，显示市场依然有犹豫。本报告期内，本组合积极调整债券持仓，逐步降低衍生品对冲比例。此外对权益资产进行积极调整行业结构。展望今年三季度，稳经济诉求越发强烈，财政和货币政策向好，更有利权益市场，债市随着利差及绝对收益率的下降，风险也在积聚，策略上需谨慎对待。本组合将继续坚持既有投资策略，积极主动管理好大类资产的配置策略并精细化选择类属资产。</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23.33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30.95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24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182,649,814.52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22如东东泰01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111,319,443.97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20鄂交投MTN001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20,688,759.45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21泰交通MTN001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20,561,679.73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21凤凰传媒MTN001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20,461,570.68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广发纯债债券型证券投资基金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20,365,980.50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13,989,020.11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13,984,072.70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20金霞01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10,389,345.34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20桂投资MTN002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10,361,643.84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20桂投资MTN002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20临空港投MTN002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21泰交通MTN001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22如东东泰01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兴银理财增盈优选28号净值型理财产品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兴银理财增盈优选28号净值型理财产品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兴业期货-兴合1号集合资产管理计划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兴银理财增盈优选28号净值型理财产品2023年第二季度报告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051010100101214584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兴银理财增盈优选28号净值型理财产品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