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兴银理财ESG兴动未来1号净值型理财产品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兴银理财ESG兴动未来1号净值型理财产品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9K221501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813,595,609.55份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产品9K221501自成立日以来，累计净值增长率为7.3770%，年化累计净值增长率为3.6784%。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1.07377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1.07377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873,610,844.90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兴动未来1号采用高仓位债券资产，久期1-2年；权益仓位10%，结构中，整体配置较为均衡，增加了中特估、TMT等行业配置比例，提升组合进攻性。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安信永鑫增强债券型证券投资基金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65,357,515.41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40,926,748.42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40,672,664.66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40,097,094.46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富国天利增长债券投资基金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35,049,704.76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31,532,274.66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31,060,924.93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23首开MTN002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31,007,990.98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29,851,309.48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22荆门债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27,021,591.12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兴银理财ESG兴动未来1号净值型理财产品2023年第二季度报告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兴银理财ESG兴动未来1号净值型理财产品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