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9"/>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兴银理财增盈稳享封闭式20号固收类理财产品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6"/>
          </w:tcPr>
          <w:p>
            <w:pPr>
              <w:pStyle w:val="4"/>
            </w:pPr>
          </w:p>
        </w:tc>
        <w:tc>
          <w:tcPr>
            <w:gridSpan w:val="9"/>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6"/>
          </w:tcPr>
          <w:p>
            <w:pPr>
              <w:pStyle w:val="4"/>
            </w:pPr>
          </w:p>
        </w:tc>
        <w:tc>
          <w:p>
            <w:pPr>
              <w:pStyle w:val="4"/>
            </w:pPr>
          </w:p>
        </w:tc>
        <w:tc>
          <w:tcPr>
            <w:gridSpan w:val="4"/>
          </w:tcPr>
          <w:p>
            <w:pPr>
              <w:pStyle w:val="4"/>
            </w:pPr>
          </w:p>
        </w:tc>
        <w:tc>
          <w:tcPr>
            <w:gridSpan w:val="2"/>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6"/>
          </w:tcPr>
          <w:p>
            <w:pPr>
              <w:pStyle w:val="4"/>
            </w:pPr>
          </w:p>
        </w:tc>
        <w:tc>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4"/>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4"/>
          </w:tcPr>
          <w:p>
            <w:pPr>
              <w:pStyle w:val="4"/>
            </w:pPr>
          </w:p>
        </w:tc>
        <w:tc>
          <w:tcPr>
            <w:gridSpan w:val="2"/>
          </w:tcPr>
          <w:p>
            <w:pPr>
              <w:pStyle w:val="4"/>
            </w:pPr>
          </w:p>
        </w:tc>
        <w:tc>
          <w:tcPr>
            <w:gridSpan w:val="2"/>
          </w:tcPr>
          <w:p>
            <w:pPr>
              <w:pStyle w:val="4"/>
            </w:pPr>
          </w:p>
        </w:tc>
        <w:tc>
          <w:p>
            <w:pPr>
              <w:pStyle w:val="4"/>
            </w:pPr>
          </w:p>
        </w:tc>
        <w:tc>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4"/>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2" w:name="JR_PAGE_ANCHOR_0_3"/>
            <w:bookmarkEnd w:id="2"/>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80" w:hRule="atLeast"/>
        </w:trPr>
        <w:tc>
          <w:p>
            <w:pPr>
              <w:pStyle w:val="4"/>
            </w:pPr>
          </w:p>
        </w:tc>
        <w:tc>
          <w:tcPr>
            <w:gridSpan w:val="19"/>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兴银理财增盈稳享封闭式20号固收类理财产品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9K240200</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Z7002022000203</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1,945,911,522.06份</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业绩比较基准/业绩报酬计提基准</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4.95%/4.95%</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R2</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11"/>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p>
            <w:pPr>
              <w:pStyle w:val="4"/>
            </w:pPr>
          </w:p>
        </w:tc>
      </w:tr>
      <w:tr>
        <w:tblPrEx>
          <w:tblCellMar>
            <w:top w:w="0" w:type="dxa"/>
            <w:left w:w="10" w:type="dxa"/>
            <w:bottom w:w="0" w:type="dxa"/>
            <w:right w:w="10" w:type="dxa"/>
          </w:tblCellMar>
        </w:tblPrEx>
        <w:trPr>
          <w:gridAfter w:val="4"/>
          <w:trHeight w:val="40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6"/>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产品9K240200自成立日以来，累计净值增长率为2.6640%，年化累计净值增长率为2.6567%。</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920" w:hRule="exact"/>
        </w:trPr>
        <w:tc>
          <w:p>
            <w:pPr>
              <w:pStyle w:val="4"/>
            </w:pPr>
          </w:p>
        </w:tc>
        <w:tc>
          <w:tcPr>
            <w:gridSpan w:val="7"/>
          </w:tcPr>
          <w:p>
            <w:pPr>
              <w:pStyle w:val="4"/>
            </w:pPr>
          </w:p>
        </w:tc>
        <w:tc>
          <w:p>
            <w:pPr>
              <w:pStyle w:val="4"/>
            </w:pPr>
          </w:p>
        </w:tc>
        <w:tc>
          <w:tcPr>
            <w:gridSpan w:val="3"/>
          </w:tcPr>
          <w:p>
            <w:pPr>
              <w:pStyle w:val="4"/>
            </w:pPr>
          </w:p>
        </w:tc>
        <w:tc>
          <w:tcPr>
            <w:gridSpan w:val="2"/>
          </w:tcPr>
          <w:p>
            <w:pPr>
              <w:pStyle w:val="4"/>
            </w:pP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3"/>
          </w:tcPr>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3" w:name="JR_PAGE_ANCHOR_0_4"/>
            <w:bookmarkEnd w:id="3"/>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估值日期</w:t>
            </w:r>
          </w:p>
        </w:tc>
        <w:tc>
          <w:tcPr>
            <w:gridSpan w:val="5"/>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产品份额净值</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 xml:space="preserve">产品累计净值 </w:t>
            </w:r>
          </w:p>
        </w:tc>
        <w:tc>
          <w:tcPr>
            <w:gridSpan w:val="4"/>
            <w:tcBorders>
              <w:top w:val="single" w:color="080101" w:sz="8" w:space="0"/>
              <w:left w:val="single" w:color="080101" w:sz="8" w:space="0"/>
              <w:bottom w:val="single" w:color="080101" w:sz="8" w:space="0"/>
              <w:right w:val="single" w:color="080101" w:sz="8" w:space="0"/>
            </w:tcBorders>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产品资产净值</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c>
          <w:tcPr>
            <w:gridSpan w:val="5"/>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1.02664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1.02664</w:t>
            </w:r>
          </w:p>
        </w:tc>
        <w:tc>
          <w:tcPr>
            <w:gridSpan w:val="4"/>
            <w:tcBorders>
              <w:top w:val="single" w:color="080101" w:sz="8" w:space="0"/>
              <w:left w:val="single" w:color="080101" w:sz="8" w:space="0"/>
              <w:bottom w:val="single" w:color="080101" w:sz="8" w:space="0"/>
              <w:right w:val="single" w:color="080101" w:sz="8" w:space="0"/>
            </w:tcBorders>
            <w:tcMar>
              <w:top w:w="0" w:type="dxa"/>
              <w:left w:w="0" w:type="dxa"/>
              <w:bottom w:w="0" w:type="dxa"/>
              <w:right w:w="0" w:type="dxa"/>
            </w:tcMar>
            <w:vAlign w:val="center"/>
          </w:tcPr>
          <w:p>
            <w:pPr>
              <w:jc w:val="center"/>
            </w:pPr>
            <w:r>
              <w:rPr>
                <w:rFonts w:ascii="宋体" w:hAnsi="宋体" w:eastAsia="宋体" w:cs="宋体"/>
                <w:color w:val="000000"/>
                <w:sz w:val="21"/>
              </w:rPr>
              <w:t>1,997,752,345.91</w:t>
            </w: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9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2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24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本产品为50%非标+70%债券+5%以内权益的固收类产品。二季度产品运行较为稳健，目前随着债券价格的反弹，产品收益较为稳定。组合在债券调整前的债券久期达到1.8年，杠杆150%。展望后市，目前市场仍然处于复苏的初期。利率反映了短期内经济回暖节奏偏慢。产品配置角度上，债券以2年高收益信用债为主，权益择机进行操作，兼顾收益和流动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9"/>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20"/>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0" w:hRule="exact"/>
        </w:trPr>
        <w:tc>
          <w:p>
            <w:pPr>
              <w:pStyle w:val="4"/>
            </w:pPr>
          </w:p>
        </w:tc>
        <w:tc>
          <w:p>
            <w:pPr>
              <w:pStyle w:val="4"/>
            </w:pPr>
          </w:p>
        </w:tc>
        <w:tc>
          <w:tcPr>
            <w:gridSpan w:val="20"/>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权益类投资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63.20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65.71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24.07</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80" w:hRule="exact"/>
        </w:trPr>
        <w:tc>
          <w:p>
            <w:pPr>
              <w:pStyle w:val="4"/>
            </w:pPr>
          </w:p>
        </w:tc>
        <w:tc>
          <w:p>
            <w:pPr>
              <w:pStyle w:val="4"/>
            </w:pPr>
          </w:p>
        </w:tc>
        <w:tc>
          <w:tcPr>
            <w:gridSpan w:val="4"/>
          </w:tcPr>
          <w:p>
            <w:pPr>
              <w:pStyle w:val="4"/>
            </w:pPr>
          </w:p>
        </w:tc>
        <w:tc>
          <w:tcPr>
            <w:gridSpan w:val="2"/>
          </w:tcPr>
          <w:p>
            <w:pPr>
              <w:pStyle w:val="4"/>
            </w:pPr>
          </w:p>
        </w:tc>
        <w:tc>
          <w:tcPr>
            <w:gridSpan w:val="3"/>
          </w:tcPr>
          <w:p>
            <w:pPr>
              <w:pStyle w:val="4"/>
            </w:pPr>
          </w:p>
        </w:tc>
        <w:tc>
          <w:p>
            <w:pPr>
              <w:pStyle w:val="4"/>
            </w:pPr>
          </w:p>
        </w:tc>
        <w:tc>
          <w:tcPr>
            <w:gridSpan w:val="2"/>
          </w:tcPr>
          <w:p>
            <w:pPr>
              <w:pStyle w:val="4"/>
            </w:pP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4"/>
          </w:tcPr>
          <w:p>
            <w:pPr>
              <w:pStyle w:val="4"/>
            </w:pPr>
          </w:p>
        </w:tc>
        <w:tc>
          <w:tcPr>
            <w:gridSpan w:val="2"/>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p>
            <w:pPr>
              <w:pStyle w:val="4"/>
            </w:pPr>
          </w:p>
        </w:tc>
        <w:tc>
          <w:tcPr>
            <w:gridSpan w:val="4"/>
          </w:tcPr>
          <w:p>
            <w:pPr>
              <w:pStyle w:val="4"/>
            </w:pPr>
          </w:p>
        </w:tc>
        <w:tc>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4" w:name="JR_PAGE_ANCHOR_0_5"/>
            <w:bookmarkEnd w:id="4"/>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p>
            <w:pPr>
              <w:pStyle w:val="4"/>
            </w:pPr>
          </w:p>
        </w:tc>
      </w:tr>
      <w:tr>
        <w:tblPrEx>
          <w:tblCellMar>
            <w:top w:w="0" w:type="dxa"/>
            <w:left w:w="10" w:type="dxa"/>
            <w:bottom w:w="0" w:type="dxa"/>
            <w:right w:w="10" w:type="dxa"/>
          </w:tblCellMar>
        </w:tblPrEx>
        <w:trPr>
          <w:gridAfter w:val="4"/>
          <w:trHeight w:val="100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p>
            <w:pPr>
              <w:pStyle w:val="4"/>
            </w:pPr>
          </w:p>
        </w:tc>
      </w:tr>
      <w:tr>
        <w:tblPrEx>
          <w:tblCellMar>
            <w:top w:w="0" w:type="dxa"/>
            <w:left w:w="10" w:type="dxa"/>
            <w:bottom w:w="0" w:type="dxa"/>
            <w:right w:w="10" w:type="dxa"/>
          </w:tblCellMar>
        </w:tblPrEx>
        <w:trPr>
          <w:gridAfter w:val="4"/>
          <w:trHeight w:val="2580" w:hRule="atLeast"/>
        </w:trPr>
        <w:tc>
          <w:p>
            <w:pPr>
              <w:pStyle w:val="4"/>
            </w:pPr>
          </w:p>
        </w:tc>
        <w:tc>
          <w:tcPr>
            <w:gridSpan w:val="19"/>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p>
            <w:pPr>
              <w:pStyle w:val="4"/>
            </w:pPr>
          </w:p>
        </w:tc>
      </w:tr>
      <w:tr>
        <w:tblPrEx>
          <w:tblCellMar>
            <w:top w:w="0" w:type="dxa"/>
            <w:left w:w="10" w:type="dxa"/>
            <w:bottom w:w="0" w:type="dxa"/>
            <w:right w:w="10" w:type="dxa"/>
          </w:tblCellMar>
        </w:tblPrEx>
        <w:trPr>
          <w:gridAfter w:val="4"/>
          <w:trHeight w:val="50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gridAfter w:val="4"/>
          <w:trHeight w:val="6640" w:hRule="exact"/>
        </w:trPr>
        <w:tc>
          <w:p>
            <w:pPr>
              <w:pStyle w:val="4"/>
            </w:pPr>
          </w:p>
        </w:tc>
        <w:tc>
          <w:tcPr>
            <w:gridSpan w:val="19"/>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中原信托-联易融保理应收账款债权1号（第10期）—保利发展（广州分行）</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204,402,419.23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10.23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22嘉兴高新04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190,544,088.11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9.54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青租16A2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145,034,543.35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7.26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92,984,495.78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4.65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22杭州青山湖01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85,567,468.15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4.28</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73,938,320.00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3.70</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22长江03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61,157,200.27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22CSFD152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51,819,901.85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2.59</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21首开集团MTN001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50,583,090.63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23嘉服01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50,013,479.45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2.50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260" w:hRule="exact"/>
        </w:trPr>
        <w:tc>
          <w:p>
            <w:pPr>
              <w:pStyle w:val="4"/>
            </w:pPr>
          </w:p>
        </w:tc>
        <w:tc>
          <w:tcPr>
            <w:gridSpan w:val="7"/>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7"/>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5" w:name="JR_PAGE_ANCHOR_0_6"/>
            <w:bookmarkEnd w:id="5"/>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9"/>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12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18陕煤化MTN004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20锡公用MTN001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21海沧投资MTN001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21金圆投资MTN002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21陕有色MTN001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22国贸房产MTN001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22杭州青山湖01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22嘉兴高新04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188,000,000.00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22晋江城投MTN001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22辽成大MTN001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22路桥公投01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73,000,000.00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22闽冶金MTN001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22荣盛MTN002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22武夷建设02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22五凌1号ABN001优先A</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22兴蓉环境MTN001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22之江城投07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22紫金矿业MTN004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23邵阳城投CP001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23生态城投CP001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4"/>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6" w:name="JR_PAGE_ANCHOR_0_7"/>
            <w:bookmarkEnd w:id="6"/>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兴银理财增盈稳享封闭式20号固收类理财产品2023年第二季度报告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9"/>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兴银理财增盈稳享封闭式20号固收类理财产品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14.98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兴银理财增盈稳享封闭式20号固收类理财产品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48.35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兴业信托·兴享稳健睿郡2号</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0.25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兴业国际信托有限公司</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15"/>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9"/>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1"/>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21"/>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7"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051010100101418534</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兴银理财增盈稳享封闭式20号固收类理财产品</w:t>
                        </w:r>
                      </w:p>
                    </w:tc>
                  </w:tr>
                </w:tbl>
                <w:p>
                  <w:pPr>
                    <w:pStyle w:val="4"/>
                    <w:jc w:val="center"/>
                  </w:pPr>
                </w:p>
              </w:tc>
            </w:tr>
            <w:bookmarkEnd w:id="7"/>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9"/>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7080" w:hRule="exact"/>
        </w:trPr>
        <w:tc>
          <w:p>
            <w:pPr>
              <w:pStyle w:val="4"/>
            </w:pPr>
          </w:p>
        </w:tc>
        <w:tc>
          <w:tcPr>
            <w:gridSpan w:val="2"/>
          </w:tcPr>
          <w:p>
            <w:pPr>
              <w:pStyle w:val="4"/>
            </w:pPr>
          </w:p>
        </w:tc>
        <w:tc>
          <w:tcPr>
            <w:gridSpan w:val="2"/>
          </w:tcPr>
          <w:p>
            <w:pPr>
              <w:pStyle w:val="4"/>
            </w:pPr>
          </w:p>
        </w:tc>
        <w:tc>
          <w:tcPr>
            <w:gridSpan w:val="3"/>
          </w:tcPr>
          <w:p>
            <w:pPr>
              <w:pStyle w:val="4"/>
            </w:pPr>
          </w:p>
        </w:tc>
        <w:tc>
          <w:tcPr>
            <w:gridSpan w:val="4"/>
          </w:tcPr>
          <w:p>
            <w:pPr>
              <w:pStyle w:val="4"/>
            </w:pPr>
          </w:p>
        </w:tc>
        <w:tc>
          <w:tcPr>
            <w:gridSpan w:val="2"/>
          </w:tcPr>
          <w:p>
            <w:pPr>
              <w:pStyle w:val="4"/>
            </w:pPr>
          </w:p>
        </w:tc>
        <w:tc>
          <w:tcPr>
            <w:gridSpan w:val="6"/>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2"/>
          </w:tcPr>
          <w:p>
            <w:pPr>
              <w:pStyle w:val="4"/>
            </w:pPr>
          </w:p>
        </w:tc>
        <w:tc>
          <w:tcPr>
            <w:gridSpan w:val="3"/>
          </w:tcPr>
          <w:p>
            <w:pPr>
              <w:pStyle w:val="4"/>
            </w:pPr>
          </w:p>
        </w:tc>
        <w:tc>
          <w:tcPr>
            <w:gridSpan w:val="4"/>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7</w:t>
            </w:r>
          </w:p>
        </w:tc>
        <w:tc>
          <w:tcPr>
            <w:gridSpan w:val="6"/>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1EF2B3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2023-07-20T02:22:57Z</dcterms:created>
  <dc:creator>cib</dc:creator>
  <cp:lastModifiedBy>cib</cp:lastModifiedBy>
  <dcterms:modified xsi:type="dcterms:W3CDTF">2023-07-20T02:23:22Z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