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兴银理财ESG悦动11号净值型理财产品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兴银理财ESG悦动11号净值型理财产品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Z7002022000042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31,023,210.75份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9K22020A：3.50%--3.70%/3.70%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悦动（纯享款）封闭式</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31,023,210.75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产品9K22020A自成立日以来，累计净值增长率为2.2090%，年化累计净值增长率为4.2436%。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31,708,492.30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31,708,492.30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全年发生了很多超预期的宏观利空事件，如俄乌战争、疫情反复、美联储超预期加息、地产持续暴雷等，对于投资的考验较大。本报告期内，本组合积极调整债券持仓，利用利率衍生品对冲久期风险等操作。展望今年，预期未来债券市场偏震荡，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6,130,155.24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6,051,732.00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2,000,493.16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1,559,145.82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1,554,872.64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1,554,833.33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1,551,236.79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1,546,494.10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1,545,781.58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1,544,960.41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23温州名城01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051010100101348888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兴银理财ESG悦动11号净值型理财产品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兴银理财ESG悦动11号净值型理财产品2023年第二季度报告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