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兴银理财增盈稳享封闭式36号固收类理财产品2023年第二季度报告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兴银理财增盈稳享封闭式36号固收类理财产品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兴银理财增盈稳享封闭式36号固收类理财产品2023年第二季度报告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兴银理财增盈稳享封闭式36号固收类理财产品2023年第二季度报告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兴银理财增盈稳享封闭式36号固收类理财产品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9K240360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Z7002022000255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4,358,730,397.69份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9K24036A：4.25%/4.25%</w:t>
            </w:r>
            <w:r>
              <w:rPr>
                <w:rFonts w:ascii="宋体" w:hAnsi="宋体" w:eastAsia="宋体" w:cs="宋体"/>
                <w:color w:val="000000"/>
                <w:sz w:val="21"/>
              </w:rPr>
              <w:br w:type="textWrapping"/>
            </w:r>
            <w:r>
              <w:rPr>
                <w:rFonts w:ascii="宋体" w:hAnsi="宋体" w:eastAsia="宋体" w:cs="宋体"/>
                <w:color w:val="000000"/>
                <w:sz w:val="21"/>
              </w:rPr>
              <w:t xml:space="preserve">  9K24036C：4.00%/4.00%</w:t>
            </w:r>
            <w:r>
              <w:rPr>
                <w:rFonts w:ascii="宋体" w:hAnsi="宋体" w:eastAsia="宋体" w:cs="宋体"/>
                <w:color w:val="000000"/>
                <w:sz w:val="21"/>
              </w:rPr>
              <w:br w:type="textWrapping"/>
            </w:r>
            <w:r>
              <w:rPr>
                <w:rFonts w:ascii="宋体" w:hAnsi="宋体" w:eastAsia="宋体" w:cs="宋体"/>
                <w:color w:val="000000"/>
                <w:sz w:val="21"/>
              </w:rPr>
              <w:t xml:space="preserve">  9K24036D：4.15%/4.15%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增盈稳享36A-久久重阳</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3,649,368,265.38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增盈稳享36C-久久重阳</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9K24036C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24,914,848.31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5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兴银理财增盈稳享封闭式36号固收类理财产品2023年第二季度报告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增盈稳享36D-久久重阳</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9K24036D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684,447,284.00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产品9K24036A自成立日以来，累计净值增长率为1.5440%，年化累计净值增长率为2.1675%。</w:t>
            </w:r>
            <w:r>
              <w:rPr>
                <w:rFonts w:ascii="宋体" w:hAnsi="宋体" w:eastAsia="宋体" w:cs="宋体"/>
                <w:color w:val="000000"/>
                <w:sz w:val="21"/>
              </w:rPr>
              <w:br w:type="textWrapping"/>
            </w:r>
            <w:r>
              <w:rPr>
                <w:rFonts w:ascii="宋体" w:hAnsi="宋体" w:eastAsia="宋体" w:cs="宋体"/>
                <w:color w:val="000000"/>
                <w:sz w:val="21"/>
              </w:rPr>
              <w:t>产品9K24036C自成立日以来，累计净值增长率为1.3640%，年化累计净值增长率为1.9148%。</w:t>
            </w:r>
            <w:r>
              <w:rPr>
                <w:rFonts w:ascii="宋体" w:hAnsi="宋体" w:eastAsia="宋体" w:cs="宋体"/>
                <w:color w:val="000000"/>
                <w:sz w:val="21"/>
              </w:rPr>
              <w:br w:type="textWrapping"/>
            </w:r>
            <w:r>
              <w:rPr>
                <w:rFonts w:ascii="宋体" w:hAnsi="宋体" w:eastAsia="宋体" w:cs="宋体"/>
                <w:color w:val="000000"/>
                <w:sz w:val="21"/>
              </w:rPr>
              <w:t>产品9K24036D自成立日以来，累计净值增长率为1.4720%，年化累计净值增长率为2.0665%。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4,425,490,625.29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3,705,713,879.30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9K24036C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25,254,690.81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9K24036D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694,522,055.18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8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一、市场回顾及市场展望。</w:t>
            </w:r>
            <w:r>
              <w:rPr>
                <w:rFonts w:ascii="宋体" w:hAnsi="宋体" w:eastAsia="宋体" w:cs="宋体"/>
                <w:color w:val="000000"/>
                <w:sz w:val="21"/>
              </w:rPr>
              <w:br w:type="textWrapping"/>
            </w:r>
            <w:r>
              <w:rPr>
                <w:rFonts w:ascii="宋体" w:hAnsi="宋体" w:eastAsia="宋体" w:cs="宋体"/>
                <w:color w:val="000000"/>
                <w:sz w:val="21"/>
              </w:rPr>
              <w:t xml:space="preserve">    首先，中长周期的角度（3-7年）可能是美国再工业化，中国商品滞销，中国叠加人口、地产的大顶，存在长时</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兴银理财增盈稳享封闭式36号固收类理财产品2023年第二季度报告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果经济略有恢复，对市场将会是上涨期权，核心是资本市场和民营企业信心回来，价值和核心资产与科技成长都存在机会。</w:t>
            </w:r>
            <w:r>
              <w:rPr>
                <w:rFonts w:ascii="宋体" w:hAnsi="宋体" w:eastAsia="宋体" w:cs="宋体"/>
                <w:color w:val="000000"/>
                <w:sz w:val="21"/>
              </w:rPr>
              <w:br w:type="textWrapping"/>
            </w:r>
            <w:r>
              <w:rPr>
                <w:rFonts w:ascii="宋体" w:hAnsi="宋体" w:eastAsia="宋体" w:cs="宋体"/>
                <w:color w:val="000000"/>
                <w:sz w:val="21"/>
              </w:rPr>
              <w:t>二、组合策略。</w:t>
            </w:r>
            <w:r>
              <w:rPr>
                <w:rFonts w:ascii="宋体" w:hAnsi="宋体" w:eastAsia="宋体" w:cs="宋体"/>
                <w:color w:val="000000"/>
                <w:sz w:val="21"/>
              </w:rPr>
              <w:br w:type="textWrapping"/>
            </w:r>
            <w:r>
              <w:rPr>
                <w:rFonts w:ascii="宋体" w:hAnsi="宋体" w:eastAsia="宋体" w:cs="宋体"/>
                <w:color w:val="000000"/>
                <w:sz w:val="21"/>
              </w:rPr>
              <w:t xml:space="preserve">    增盈稳享36号为封闭式产品，债券部分采用衰竭式久期的配置方式，权益仓位低于10%，结构中，整体配置较为均衡，增加了中特估、TMT等行业配置比例，提升组合进攻性。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13.61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兴银理财增盈稳享封闭式36号固收类理财产品2023年第二季度报告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中国工商银行杭州分行大额存单10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522,246,521.06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粤财信托？瑞丰67-1号单一资金信托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441,660,667.00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22中原豫资01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261,285,283.29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22宁海城投05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201,201,126.03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22龙城产业06（绿色）</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182,767,753.29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168,777,738.74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中原信托-联捷保理应收账款债权4号（第1期）—华发集团（广州分行）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138,066,204.39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23绍城01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105,784,045.07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华泰投融兴银1号单一资产管理计划（科伦药业场内股票质押第一笔）</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100,184,620.50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华泰投融兴银1号单一资产管理计划（科伦药业场内股票质押第二笔）</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100,176,120.50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兴银理财增盈稳享封闭式36号固收类理财产品2023年第二季度报告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13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20北方稀土MTN002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20晋能MTN013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21北稀高科MTN001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21弘湘国投MTN001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21南通经开MTN005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21山东金融MTN001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21太仓水务GN001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21新静安MTN002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22兵国资MTN001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22光穗建发ABN003优先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22晋江城投MTN001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22龙城产业06（绿色）</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22宁海城投05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22顺德投资MTN001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22宿州城投MTN003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22乌交旅MTN001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22盐城交通MTN003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22中建七局MTN001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22中原豫资01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23光谷金控MTN001(科创票据)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23南京生物ABN001优先(科创票据)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兴银理财增盈稳享封闭式36号固收类理财产品2023年第二季度报告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23五凌2号ABN001优先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兴银理财增盈稳享封闭式36号固收类理财产品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兴银理财增盈稳享封闭式36号固收类理财产品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8"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051010100101456621</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兴银理财增盈稳享封闭式36号固收类理财产品</w:t>
                        </w:r>
                      </w:p>
                    </w:tc>
                  </w:tr>
                </w:tbl>
                <w:p>
                  <w:pPr>
                    <w:pStyle w:val="4"/>
                    <w:jc w:val="center"/>
                  </w:pPr>
                </w:p>
              </w:tc>
            </w:tr>
            <w:bookmarkEnd w:id="8"/>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5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04C57B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2023-07-20T02:31:39Z</dcterms:created>
  <dc:creator>cib</dc:creator>
  <cp:lastModifiedBy>cib</cp:lastModifiedBy>
  <dcterms:modified xsi:type="dcterms:W3CDTF">2023-07-20T02:32:07Z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