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0" w:type="dxa"/>
        <w:tblLayout w:type="fixed"/>
        <w:tblCellMar>
          <w:top w:w="0" w:type="dxa"/>
          <w:left w:w="10" w:type="dxa"/>
          <w:bottom w:w="0" w:type="dxa"/>
          <w:right w:w="10" w:type="dxa"/>
        </w:tblCellMar>
      </w:tblPr>
      <w:tblGrid>
        <w:gridCol w:w="1"/>
        <w:gridCol w:w="20"/>
        <w:gridCol w:w="20"/>
        <w:gridCol w:w="60"/>
        <w:gridCol w:w="100"/>
        <w:gridCol w:w="2820"/>
        <w:gridCol w:w="380"/>
        <w:gridCol w:w="740"/>
        <w:gridCol w:w="260"/>
        <w:gridCol w:w="1000"/>
        <w:gridCol w:w="1000"/>
        <w:gridCol w:w="1000"/>
        <w:gridCol w:w="2620"/>
        <w:gridCol w:w="220"/>
        <w:gridCol w:w="260"/>
        <w:gridCol w:w="200"/>
        <w:gridCol w:w="1"/>
        <w:gridCol w:w="19"/>
        <w:gridCol w:w="1"/>
        <w:gridCol w:w="19"/>
        <w:gridCol w:w="1"/>
      </w:tblGrid>
      <w:tr>
        <w:tblPrEx>
          <w:tblCellMar>
            <w:top w:w="0" w:type="dxa"/>
            <w:left w:w="10" w:type="dxa"/>
            <w:bottom w:w="0" w:type="dxa"/>
            <w:right w:w="10" w:type="dxa"/>
          </w:tblCellMar>
        </w:tblPrEx>
        <w:trPr>
          <w:gridAfter w:val="4"/>
          <w:trHeight w:val="0" w:hRule="atLeast"/>
        </w:trPr>
        <w:tc>
          <w:p>
            <w:pPr>
              <w:pStyle w:val="4"/>
            </w:pPr>
            <w:bookmarkStart w:id="0" w:name="JR_PAGE_ANCHOR_0_1"/>
            <w:bookmarkEnd w:id="0"/>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兴银理财增盈稳享封闭式37号固收类理财产品2023年第二季度报告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96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3020" w:hRule="atLeast"/>
        </w:trPr>
        <w:tc>
          <w:p>
            <w:pPr>
              <w:pStyle w:val="4"/>
            </w:pPr>
          </w:p>
        </w:tc>
        <w:tc>
          <w:tcPr>
            <w:gridSpan w:val="15"/>
            <w:tcMar>
              <w:top w:w="0" w:type="dxa"/>
              <w:left w:w="0" w:type="dxa"/>
              <w:bottom w:w="0" w:type="dxa"/>
              <w:right w:w="0" w:type="dxa"/>
            </w:tcMar>
            <w:vAlign w:val="center"/>
          </w:tcPr>
          <w:p>
            <w:pPr>
              <w:spacing w:before="0" w:after="0" w:line="360" w:lineRule="auto"/>
              <w:jc w:val="center"/>
            </w:pPr>
            <w:r>
              <w:rPr>
                <w:rFonts w:ascii="宋体" w:hAnsi="宋体" w:eastAsia="宋体" w:cs="宋体"/>
                <w:b/>
                <w:color w:val="000000"/>
                <w:sz w:val="32"/>
              </w:rPr>
              <w:t>兴银理财增盈稳享封闭式37号固收类理财产品</w:t>
            </w:r>
            <w:r>
              <w:rPr>
                <w:rFonts w:ascii="宋体" w:hAnsi="宋体" w:eastAsia="宋体" w:cs="宋体"/>
                <w:b/>
                <w:color w:val="000000"/>
                <w:sz w:val="32"/>
              </w:rPr>
              <w:br w:type="textWrapping"/>
            </w:r>
            <w:r>
              <w:rPr>
                <w:rFonts w:ascii="宋体" w:hAnsi="宋体" w:eastAsia="宋体" w:cs="宋体"/>
                <w:b/>
                <w:color w:val="000000"/>
                <w:sz w:val="32"/>
              </w:rPr>
              <w:t>2023年第二季度报告</w:t>
            </w:r>
          </w:p>
        </w:tc>
        <w:tc>
          <w:p>
            <w:pPr>
              <w:pStyle w:val="4"/>
            </w:pPr>
          </w:p>
        </w:tc>
      </w:tr>
      <w:tr>
        <w:tblPrEx>
          <w:tblCellMar>
            <w:top w:w="0" w:type="dxa"/>
            <w:left w:w="10" w:type="dxa"/>
            <w:bottom w:w="0" w:type="dxa"/>
            <w:right w:w="10" w:type="dxa"/>
          </w:tblCellMar>
        </w:tblPrEx>
        <w:trPr>
          <w:gridAfter w:val="4"/>
          <w:trHeight w:val="660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理财产品管理人：兴银理财有限责任公司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理财产品托管人：兴业银行股份有限公司</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500" w:hRule="atLeast"/>
        </w:trPr>
        <w:tc>
          <w:p>
            <w:pPr>
              <w:pStyle w:val="4"/>
            </w:pPr>
          </w:p>
        </w:tc>
        <w:tc>
          <w:tcPr>
            <w:gridSpan w:val="5"/>
          </w:tcPr>
          <w:p>
            <w:pPr>
              <w:pStyle w:val="4"/>
            </w:pPr>
          </w:p>
        </w:tc>
        <w:tc>
          <w:tcPr>
            <w:gridSpan w:val="7"/>
            <w:tcMar>
              <w:top w:w="0" w:type="dxa"/>
              <w:left w:w="0" w:type="dxa"/>
              <w:bottom w:w="0" w:type="dxa"/>
              <w:right w:w="0" w:type="dxa"/>
            </w:tcMar>
            <w:vAlign w:val="center"/>
          </w:tcPr>
          <w:p>
            <w:pPr>
              <w:jc w:val="left"/>
            </w:pPr>
            <w:r>
              <w:rPr>
                <w:rFonts w:ascii="宋体" w:hAnsi="宋体" w:eastAsia="宋体" w:cs="宋体"/>
                <w:color w:val="000000"/>
                <w:sz w:val="24"/>
              </w:rPr>
              <w:t>报告送出日期：2023年7月21日</w:t>
            </w: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2720" w:hRule="exact"/>
        </w:trPr>
        <w:tc>
          <w:p>
            <w:pPr>
              <w:pStyle w:val="4"/>
            </w:pPr>
          </w:p>
        </w:tc>
        <w:tc>
          <w:tcPr>
            <w:gridSpan w:val="5"/>
          </w:tcPr>
          <w:p>
            <w:pPr>
              <w:pStyle w:val="4"/>
            </w:pPr>
          </w:p>
        </w:tc>
        <w:tc>
          <w:p>
            <w:pPr>
              <w:pStyle w:val="4"/>
            </w:pPr>
          </w:p>
        </w:tc>
        <w:tc>
          <w:tcPr>
            <w:gridSpan w:val="3"/>
          </w:tcPr>
          <w:p>
            <w:pPr>
              <w:pStyle w:val="4"/>
            </w:pPr>
          </w:p>
        </w:tc>
        <w:tc>
          <w:tcPr>
            <w:gridSpan w:val="2"/>
          </w:tcPr>
          <w:p>
            <w:pPr>
              <w:pStyle w:val="4"/>
            </w:pP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5"/>
          </w:tcPr>
          <w:p>
            <w:pPr>
              <w:pStyle w:val="4"/>
            </w:pPr>
          </w:p>
        </w:tc>
        <w:tc>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1/</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p>
            <w:pPr>
              <w:pStyle w:val="4"/>
            </w:pPr>
          </w:p>
        </w:tc>
        <w:tc>
          <w:tcPr>
            <w:gridSpan w:val="3"/>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1" w:name="JR_PAGE_ANCHOR_0_2"/>
            <w:bookmarkEnd w:id="1"/>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兴银理财增盈稳享封闭式37号固收类理财产品2023年第二季度报告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8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3"/>
          </w:tcPr>
          <w:p>
            <w:pPr>
              <w:pStyle w:val="4"/>
            </w:pPr>
          </w:p>
        </w:tc>
        <w:tc>
          <w:tcPr>
            <w:gridSpan w:val="3"/>
          </w:tcPr>
          <w:p>
            <w:pPr>
              <w:pStyle w:val="4"/>
            </w:pPr>
          </w:p>
        </w:tc>
        <w:tc>
          <w:tcPr>
            <w:gridSpan w:val="2"/>
          </w:tcPr>
          <w:p>
            <w:pPr>
              <w:pStyle w:val="4"/>
            </w:pPr>
          </w:p>
        </w:tc>
        <w:tc>
          <w:tcPr>
            <w:gridSpan w:val="2"/>
            <w:tcMar>
              <w:top w:w="0" w:type="dxa"/>
              <w:left w:w="0" w:type="dxa"/>
              <w:bottom w:w="0" w:type="dxa"/>
              <w:right w:w="0" w:type="dxa"/>
            </w:tcMar>
            <w:vAlign w:val="top"/>
          </w:tcPr>
          <w:p>
            <w:pPr>
              <w:jc w:val="center"/>
            </w:pPr>
            <w:r>
              <w:rPr>
                <w:rFonts w:ascii="宋体" w:hAnsi="宋体" w:eastAsia="宋体" w:cs="宋体"/>
                <w:b/>
                <w:color w:val="000000"/>
                <w:sz w:val="30"/>
              </w:rPr>
              <w:t>目  录</w:t>
            </w: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4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6840" w:hRule="atLeast"/>
        </w:trPr>
        <w:tc>
          <w:p>
            <w:pPr>
              <w:pStyle w:val="4"/>
            </w:pPr>
          </w:p>
        </w:tc>
        <w:tc>
          <w:tcPr>
            <w:gridSpan w:val="3"/>
          </w:tcPr>
          <w:p>
            <w:pPr>
              <w:pStyle w:val="4"/>
            </w:pPr>
          </w:p>
        </w:tc>
        <w:tc>
          <w:tcPr>
            <w:gridSpan w:val="11"/>
            <w:tcMar>
              <w:top w:w="0" w:type="dxa"/>
              <w:left w:w="0" w:type="dxa"/>
              <w:bottom w:w="0" w:type="dxa"/>
              <w:right w:w="0" w:type="dxa"/>
            </w:tcMar>
            <w:vAlign w:val="top"/>
          </w:tcPr>
          <w:p>
            <w:pPr>
              <w:spacing w:before="0" w:after="0" w:line="336" w:lineRule="auto"/>
              <w:jc w:val="left"/>
            </w:pPr>
            <w:r>
              <w:rPr>
                <w:rFonts w:ascii="宋体" w:hAnsi="宋体" w:eastAsia="宋体" w:cs="宋体"/>
                <w:color w:val="000000"/>
                <w:sz w:val="21"/>
              </w:rPr>
              <w:t>§ 一. 重要提示</w:t>
            </w:r>
            <w:r>
              <w:rPr>
                <w:rFonts w:ascii="宋体" w:hAnsi="宋体" w:eastAsia="宋体" w:cs="宋体"/>
                <w:color w:val="000000"/>
                <w:sz w:val="21"/>
              </w:rPr>
              <w:br w:type="textWrapping"/>
            </w:r>
            <w:r>
              <w:rPr>
                <w:rFonts w:ascii="宋体" w:hAnsi="宋体" w:eastAsia="宋体" w:cs="宋体"/>
                <w:color w:val="000000"/>
                <w:sz w:val="21"/>
              </w:rPr>
              <w:t>§ 二. 产品基本信息</w:t>
            </w:r>
            <w:r>
              <w:rPr>
                <w:rFonts w:ascii="宋体" w:hAnsi="宋体" w:eastAsia="宋体" w:cs="宋体"/>
                <w:color w:val="000000"/>
                <w:sz w:val="21"/>
              </w:rPr>
              <w:br w:type="textWrapping"/>
            </w:r>
            <w:r>
              <w:rPr>
                <w:rFonts w:ascii="宋体" w:hAnsi="宋体" w:eastAsia="宋体" w:cs="宋体"/>
                <w:color w:val="000000"/>
                <w:sz w:val="21"/>
              </w:rPr>
              <w:t>§ 三. 产品收益表现</w:t>
            </w:r>
            <w:r>
              <w:rPr>
                <w:rFonts w:ascii="宋体" w:hAnsi="宋体" w:eastAsia="宋体" w:cs="宋体"/>
                <w:color w:val="000000"/>
                <w:sz w:val="21"/>
              </w:rPr>
              <w:br w:type="textWrapping"/>
            </w:r>
            <w:r>
              <w:rPr>
                <w:rFonts w:ascii="宋体" w:hAnsi="宋体" w:eastAsia="宋体" w:cs="宋体"/>
                <w:color w:val="000000"/>
                <w:sz w:val="21"/>
              </w:rPr>
              <w:t>§ 四. 产品投资经理简介</w:t>
            </w:r>
            <w:r>
              <w:rPr>
                <w:rFonts w:ascii="宋体" w:hAnsi="宋体" w:eastAsia="宋体" w:cs="宋体"/>
                <w:color w:val="000000"/>
                <w:sz w:val="21"/>
              </w:rPr>
              <w:br w:type="textWrapping"/>
            </w:r>
            <w:r>
              <w:rPr>
                <w:rFonts w:ascii="宋体" w:hAnsi="宋体" w:eastAsia="宋体" w:cs="宋体"/>
                <w:color w:val="000000"/>
                <w:sz w:val="21"/>
              </w:rPr>
              <w:t>§ 五. 报告期内产品投资策略</w:t>
            </w:r>
            <w:r>
              <w:rPr>
                <w:rFonts w:ascii="宋体" w:hAnsi="宋体" w:eastAsia="宋体" w:cs="宋体"/>
                <w:color w:val="000000"/>
                <w:sz w:val="21"/>
              </w:rPr>
              <w:br w:type="textWrapping"/>
            </w:r>
            <w:r>
              <w:rPr>
                <w:rFonts w:ascii="宋体" w:hAnsi="宋体" w:eastAsia="宋体" w:cs="宋体"/>
                <w:color w:val="000000"/>
                <w:sz w:val="21"/>
              </w:rPr>
              <w:t>§ 六. 投资组合情况</w:t>
            </w:r>
            <w:r>
              <w:rPr>
                <w:rFonts w:ascii="宋体" w:hAnsi="宋体" w:eastAsia="宋体" w:cs="宋体"/>
                <w:color w:val="000000"/>
                <w:sz w:val="21"/>
              </w:rPr>
              <w:br w:type="textWrapping"/>
            </w:r>
            <w:r>
              <w:rPr>
                <w:rFonts w:ascii="宋体" w:hAnsi="宋体" w:eastAsia="宋体" w:cs="宋体"/>
                <w:color w:val="000000"/>
                <w:sz w:val="21"/>
              </w:rPr>
              <w:t xml:space="preserve">     1. 报告期末资产组合情况</w:t>
            </w:r>
            <w:r>
              <w:rPr>
                <w:rFonts w:ascii="宋体" w:hAnsi="宋体" w:eastAsia="宋体" w:cs="宋体"/>
                <w:color w:val="000000"/>
                <w:sz w:val="21"/>
              </w:rPr>
              <w:br w:type="textWrapping"/>
            </w:r>
            <w:r>
              <w:rPr>
                <w:rFonts w:ascii="宋体" w:hAnsi="宋体" w:eastAsia="宋体" w:cs="宋体"/>
                <w:color w:val="000000"/>
                <w:sz w:val="21"/>
              </w:rPr>
              <w:t xml:space="preserve">     2. 报告期末杠杆融资情况</w:t>
            </w:r>
            <w:r>
              <w:rPr>
                <w:rFonts w:ascii="宋体" w:hAnsi="宋体" w:eastAsia="宋体" w:cs="宋体"/>
                <w:color w:val="000000"/>
                <w:sz w:val="21"/>
              </w:rPr>
              <w:br w:type="textWrapping"/>
            </w:r>
            <w:r>
              <w:rPr>
                <w:rFonts w:ascii="宋体" w:hAnsi="宋体" w:eastAsia="宋体" w:cs="宋体"/>
                <w:color w:val="000000"/>
                <w:sz w:val="21"/>
              </w:rPr>
              <w:t xml:space="preserve">     3. 投资组合的流动性风险分析</w:t>
            </w:r>
            <w:r>
              <w:rPr>
                <w:rFonts w:ascii="宋体" w:hAnsi="宋体" w:eastAsia="宋体" w:cs="宋体"/>
                <w:color w:val="000000"/>
                <w:sz w:val="21"/>
              </w:rPr>
              <w:br w:type="textWrapping"/>
            </w:r>
            <w:r>
              <w:rPr>
                <w:rFonts w:ascii="宋体" w:hAnsi="宋体" w:eastAsia="宋体" w:cs="宋体"/>
                <w:color w:val="000000"/>
                <w:sz w:val="21"/>
              </w:rPr>
              <w:t xml:space="preserve">     4. 报告期末资产持仓前十基本信息</w:t>
            </w:r>
            <w:r>
              <w:rPr>
                <w:rFonts w:ascii="宋体" w:hAnsi="宋体" w:eastAsia="宋体" w:cs="宋体"/>
                <w:color w:val="000000"/>
                <w:sz w:val="21"/>
              </w:rPr>
              <w:br w:type="textWrapping"/>
            </w:r>
            <w:r>
              <w:rPr>
                <w:rFonts w:ascii="宋体" w:hAnsi="宋体" w:eastAsia="宋体" w:cs="宋体"/>
                <w:color w:val="000000"/>
                <w:sz w:val="21"/>
              </w:rPr>
              <w:t xml:space="preserve">     5. 报告期间关联交易情况</w:t>
            </w:r>
            <w:r>
              <w:rPr>
                <w:rFonts w:ascii="宋体" w:hAnsi="宋体" w:eastAsia="宋体" w:cs="宋体"/>
                <w:color w:val="000000"/>
                <w:sz w:val="21"/>
              </w:rPr>
              <w:br w:type="textWrapping"/>
            </w:r>
            <w:r>
              <w:rPr>
                <w:rFonts w:ascii="宋体" w:hAnsi="宋体" w:eastAsia="宋体" w:cs="宋体"/>
                <w:color w:val="000000"/>
                <w:sz w:val="21"/>
              </w:rPr>
              <w:t xml:space="preserve">     6. 投资账户信息</w:t>
            </w:r>
          </w:p>
        </w:tc>
        <w:tc>
          <w:p>
            <w:pPr>
              <w:pStyle w:val="4"/>
            </w:pPr>
          </w:p>
        </w:tc>
        <w:tc>
          <w:p>
            <w:pPr>
              <w:pStyle w:val="4"/>
            </w:pPr>
          </w:p>
        </w:tc>
      </w:tr>
      <w:tr>
        <w:tblPrEx>
          <w:tblCellMar>
            <w:top w:w="0" w:type="dxa"/>
            <w:left w:w="10" w:type="dxa"/>
            <w:bottom w:w="0" w:type="dxa"/>
            <w:right w:w="10" w:type="dxa"/>
          </w:tblCellMar>
        </w:tblPrEx>
        <w:trPr>
          <w:gridAfter w:val="4"/>
          <w:trHeight w:val="6080" w:hRule="exact"/>
        </w:trPr>
        <w:tc>
          <w:p>
            <w:pPr>
              <w:pStyle w:val="4"/>
            </w:pPr>
          </w:p>
        </w:tc>
        <w:tc>
          <w:tcPr>
            <w:gridSpan w:val="3"/>
          </w:tcPr>
          <w:p>
            <w:pPr>
              <w:pStyle w:val="4"/>
            </w:pPr>
          </w:p>
        </w:tc>
        <w:tc>
          <w:tcPr>
            <w:gridSpan w:val="3"/>
          </w:tcPr>
          <w:p>
            <w:pPr>
              <w:pStyle w:val="4"/>
            </w:pPr>
          </w:p>
        </w:tc>
        <w:tc>
          <w:tcPr>
            <w:gridSpan w:val="2"/>
          </w:tcPr>
          <w:p>
            <w:pPr>
              <w:pStyle w:val="4"/>
            </w:pPr>
          </w:p>
        </w:tc>
        <w:tc>
          <w:p>
            <w:pPr>
              <w:pStyle w:val="4"/>
            </w:pPr>
          </w:p>
        </w:tc>
        <w:tc>
          <w:p>
            <w:pPr>
              <w:pStyle w:val="4"/>
            </w:pPr>
          </w:p>
        </w:tc>
        <w:tc>
          <w:p>
            <w:pPr>
              <w:pStyle w:val="4"/>
            </w:pP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3"/>
          </w:tcPr>
          <w:p>
            <w:pPr>
              <w:pStyle w:val="4"/>
            </w:pPr>
          </w:p>
        </w:tc>
        <w:tc>
          <w:tcPr>
            <w:gridSpan w:val="3"/>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2/</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3"/>
          </w:tcPr>
          <w:p>
            <w:pPr>
              <w:pStyle w:val="4"/>
            </w:pPr>
          </w:p>
        </w:tc>
        <w:tc>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2" w:name="JR_PAGE_ANCHOR_0_3"/>
            <w:bookmarkEnd w:id="2"/>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兴银理财增盈稳享封闭式37号固收类理财产品2023年第二季度报告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一. 重要提示</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080" w:hRule="atLeast"/>
        </w:trPr>
        <w:tc>
          <w:p>
            <w:pPr>
              <w:pStyle w:val="4"/>
            </w:pPr>
          </w:p>
        </w:tc>
        <w:tc>
          <w:tcPr>
            <w:gridSpan w:val="15"/>
            <w:tcBorders>
              <w:top w:val="dotted" w:color="000000" w:sz="8" w:space="0"/>
              <w:left w:val="dotted" w:color="000000" w:sz="8" w:space="0"/>
              <w:bottom w:val="dotted" w:color="000000" w:sz="8" w:space="0"/>
              <w:right w:val="dotted" w:color="000000" w:sz="8" w:space="0"/>
            </w:tcBorders>
            <w:tcMar>
              <w:top w:w="0" w:type="dxa"/>
              <w:left w:w="0" w:type="dxa"/>
              <w:bottom w:w="0" w:type="dxa"/>
              <w:right w:w="0" w:type="dxa"/>
            </w:tcMar>
            <w:vAlign w:val="top"/>
          </w:tcPr>
          <w:p>
            <w:pPr>
              <w:spacing w:before="0" w:after="0" w:line="360" w:lineRule="auto"/>
              <w:jc w:val="left"/>
            </w:pPr>
            <w:r>
              <w:rPr>
                <w:rFonts w:ascii="仿宋" w:hAnsi="仿宋" w:eastAsia="仿宋" w:cs="仿宋"/>
                <w:color w:val="000000"/>
                <w:sz w:val="21"/>
              </w:rPr>
              <w:br w:type="textWrapping"/>
            </w:r>
            <w:r>
              <w:rPr>
                <w:rFonts w:ascii="仿宋" w:hAnsi="仿宋" w:eastAsia="仿宋" w:cs="仿宋"/>
                <w:color w:val="000000"/>
                <w:sz w:val="21"/>
              </w:rPr>
              <w:t xml:space="preserve"> 1. 温馨提醒：理财非存款，产品有风险，投资需谨慎！</w:t>
            </w:r>
            <w:r>
              <w:rPr>
                <w:rFonts w:ascii="仿宋" w:hAnsi="仿宋" w:eastAsia="仿宋" w:cs="仿宋"/>
                <w:color w:val="000000"/>
                <w:sz w:val="21"/>
              </w:rPr>
              <w:br w:type="textWrapping"/>
            </w:r>
            <w:r>
              <w:rPr>
                <w:rFonts w:ascii="仿宋" w:hAnsi="仿宋" w:eastAsia="仿宋" w:cs="仿宋"/>
                <w:color w:val="000000"/>
                <w:sz w:val="21"/>
              </w:rPr>
              <w:t xml:space="preserve"> 2. 理财信息可供参考，详情请咨询理财经理，或在“中国理财网（www.chinawealth.com.cn）”查询该产品相关信息。</w:t>
            </w:r>
            <w:r>
              <w:rPr>
                <w:rFonts w:ascii="仿宋" w:hAnsi="仿宋" w:eastAsia="仿宋" w:cs="仿宋"/>
                <w:color w:val="000000"/>
                <w:sz w:val="21"/>
              </w:rPr>
              <w:br w:type="textWrapping"/>
            </w:r>
            <w:r>
              <w:rPr>
                <w:rFonts w:ascii="仿宋" w:hAnsi="仿宋" w:eastAsia="仿宋" w:cs="仿宋"/>
                <w:color w:val="000000"/>
                <w:sz w:val="21"/>
              </w:rPr>
              <w:t xml:space="preserve"> 3. 兴银理财有限责任公司保留对所有文字说明的最终解释权。</w:t>
            </w:r>
            <w:r>
              <w:rPr>
                <w:rFonts w:ascii="仿宋" w:hAnsi="仿宋" w:eastAsia="仿宋" w:cs="仿宋"/>
                <w:color w:val="000000"/>
                <w:sz w:val="21"/>
              </w:rPr>
              <w:br w:type="textWrapping"/>
            </w:r>
            <w:r>
              <w:rPr>
                <w:rFonts w:ascii="仿宋" w:hAnsi="仿宋" w:eastAsia="仿宋" w:cs="仿宋"/>
                <w:color w:val="000000"/>
                <w:sz w:val="21"/>
              </w:rPr>
              <w:t xml:space="preserve"> 4. 投资组合情况（期末资产组合情况、杠杆比例、资产前十持仓等）详情请理财持有人登录网银后进行查询。</w:t>
            </w:r>
            <w:r>
              <w:rPr>
                <w:rFonts w:ascii="仿宋" w:hAnsi="仿宋" w:eastAsia="仿宋" w:cs="仿宋"/>
                <w:color w:val="000000"/>
                <w:sz w:val="21"/>
              </w:rPr>
              <w:br w:type="textWrapping"/>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二. 产品基本情况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产品名称</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兴银理财增盈稳享封闭式37号固收类理财产品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产品代码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9K240370</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全国银行业理财信息登记系统登记编码</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Z7002022000256</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产品运作方式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封闭式</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产品募集方式</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公募</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投资类型</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固定收益类</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报告期末产品份额总额</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1,333,542,934.35份</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投资币种</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人民币</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风险等级</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R2</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产品管理人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pPr>
            <w:r>
              <w:rPr>
                <w:rFonts w:ascii="宋体" w:hAnsi="宋体" w:eastAsia="宋体" w:cs="宋体"/>
                <w:color w:val="000000"/>
                <w:sz w:val="21"/>
              </w:rPr>
              <w:t>兴银理财有限责任公司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产品托管人</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spacing w:before="0" w:after="0" w:line="240" w:lineRule="auto"/>
              <w:ind w:firstLine="200"/>
            </w:pPr>
            <w:r>
              <w:rPr>
                <w:rFonts w:ascii="宋体" w:hAnsi="宋体" w:eastAsia="宋体" w:cs="宋体"/>
                <w:color w:val="000000"/>
                <w:sz w:val="21"/>
              </w:rPr>
              <w:t>兴业银行股份有限公司</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700" w:hRule="atLeast"/>
        </w:trPr>
        <w:tc>
          <w:p>
            <w:pPr>
              <w:pStyle w:val="4"/>
            </w:pPr>
          </w:p>
        </w:tc>
        <w:tc>
          <w:tcPr>
            <w:gridSpan w:val="7"/>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r>
              <w:rPr>
                <w:rFonts w:ascii="宋体" w:hAnsi="宋体" w:eastAsia="宋体" w:cs="宋体"/>
                <w:color w:val="000000"/>
                <w:sz w:val="21"/>
              </w:rPr>
              <w:t>业绩比较基准¹/业绩报酬计提基准</w:t>
            </w:r>
          </w:p>
        </w:tc>
        <w:tc>
          <w:tcPr>
            <w:gridSpan w:val="8"/>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vAlign w:val="center"/>
          </w:tcPr>
          <w:p>
            <w:pPr>
              <w:ind w:firstLine="200"/>
              <w:jc w:val="left"/>
            </w:pPr>
            <w:r>
              <w:rPr>
                <w:rFonts w:ascii="宋体" w:hAnsi="宋体" w:eastAsia="宋体" w:cs="宋体"/>
                <w:color w:val="000000"/>
                <w:sz w:val="21"/>
              </w:rPr>
              <w:t>9K24037A：4.85%/4.85%</w:t>
            </w:r>
            <w:r>
              <w:rPr>
                <w:rFonts w:ascii="宋体" w:hAnsi="宋体" w:eastAsia="宋体" w:cs="宋体"/>
                <w:color w:val="000000"/>
                <w:sz w:val="21"/>
              </w:rPr>
              <w:br w:type="textWrapping"/>
            </w:r>
            <w:r>
              <w:rPr>
                <w:rFonts w:ascii="宋体" w:hAnsi="宋体" w:eastAsia="宋体" w:cs="宋体"/>
                <w:color w:val="000000"/>
                <w:sz w:val="21"/>
              </w:rPr>
              <w:t xml:space="preserve">  9K24037C：4.65%/4.65%</w:t>
            </w:r>
            <w:r>
              <w:rPr>
                <w:rFonts w:ascii="宋体" w:hAnsi="宋体" w:eastAsia="宋体" w:cs="宋体"/>
                <w:color w:val="000000"/>
                <w:sz w:val="21"/>
              </w:rPr>
              <w:br w:type="textWrapping"/>
            </w:r>
            <w:r>
              <w:rPr>
                <w:rFonts w:ascii="宋体" w:hAnsi="宋体" w:eastAsia="宋体" w:cs="宋体"/>
                <w:color w:val="000000"/>
                <w:sz w:val="21"/>
              </w:rPr>
              <w:t xml:space="preserve">  9K24037D：4.85%/4.85%</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8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丰利增盈稳享37号（兴飞跃款）A</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9K24037A</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749,788,492.72</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丰利增盈稳享37号C</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9K24037C</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110,024,122.20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520" w:hRule="exact"/>
        </w:trPr>
        <w:tc>
          <w:p>
            <w:pPr>
              <w:pStyle w:val="4"/>
            </w:pPr>
          </w:p>
        </w:tc>
        <w:tc>
          <w:p>
            <w:pPr>
              <w:pStyle w:val="4"/>
            </w:pPr>
          </w:p>
        </w:tc>
        <w:tc>
          <w:tcPr>
            <w:gridSpan w:val="5"/>
          </w:tcPr>
          <w:p>
            <w:pPr>
              <w:pStyle w:val="4"/>
            </w:pPr>
          </w:p>
        </w:tc>
        <w:tc>
          <w:p>
            <w:pPr>
              <w:pStyle w:val="4"/>
            </w:pPr>
          </w:p>
        </w:tc>
        <w:tc>
          <w:tcPr>
            <w:gridSpan w:val="2"/>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3/</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3" w:name="JR_PAGE_ANCHOR_0_4"/>
            <w:bookmarkEnd w:id="3"/>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兴银理财增盈稳享封闭式37号固收类理财产品2023年第二季度报告</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tcPr>
            <w:gridSpan w:val="16"/>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gridCol w:w="3600"/>
              <w:gridCol w:w="4100"/>
            </w:tblGrid>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2980"/>
                    <w:gridCol w:w="2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下属子份额的销售名称</w:t>
                        </w:r>
                      </w:p>
                    </w:tc>
                    <w:tc>
                      <w:p>
                        <w:pPr>
                          <w:pStyle w:val="4"/>
                        </w:pPr>
                      </w:p>
                    </w:tc>
                  </w:tr>
                </w:tbl>
                <w:p>
                  <w:pPr>
                    <w:pStyle w:val="4"/>
                  </w:pPr>
                </w:p>
              </w:tc>
              <w:tc>
                <w:tcPr>
                  <w:tcBorders>
                    <w:top w:val="single" w:color="000000" w:sz="2" w:space="0"/>
                    <w:left w:val="single" w:color="000000" w:sz="2" w:space="0"/>
                    <w:bottom w:val="single" w:color="000000" w:sz="2" w:space="0"/>
                    <w:right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下属子份额的销售代码</w:t>
                        </w:r>
                      </w:p>
                    </w:tc>
                  </w:tr>
                </w:tbl>
                <w:p>
                  <w:pPr>
                    <w:pStyle w:val="4"/>
                  </w:pPr>
                </w:p>
              </w:tc>
              <w:tc>
                <w:tcPr>
                  <w:tcBorders>
                    <w:top w:val="single" w:color="000000" w:sz="2" w:space="0"/>
                    <w:left w:val="single" w:color="000000" w:sz="2" w:space="0"/>
                    <w:bottom w:val="single" w:color="000000" w:sz="2"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80" w:hRule="atLeast"/>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报告期末下属子份额的产品份额总数</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丰利增盈稳享37号D</w:t>
                        </w:r>
                      </w:p>
                    </w:tc>
                  </w:tr>
                </w:tbl>
                <w:p>
                  <w:pPr>
                    <w:pStyle w:val="4"/>
                  </w:pPr>
                </w:p>
              </w:tc>
              <w:tc>
                <w:tcPr>
                  <w:tcBorders>
                    <w:top w:val="single" w:color="000000" w:sz="2" w:space="0"/>
                    <w:left w:val="single" w:color="000000" w:sz="2" w:space="0"/>
                    <w:bottom w:val="single" w:color="000000" w:sz="2" w:space="0"/>
                    <w:right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9K24037D</w:t>
                        </w:r>
                      </w:p>
                    </w:tc>
                  </w:tr>
                </w:tbl>
                <w:p>
                  <w:pPr>
                    <w:pStyle w:val="4"/>
                  </w:pPr>
                </w:p>
              </w:tc>
              <w:tc>
                <w:tcPr>
                  <w:tcBorders>
                    <w:top w:val="single" w:color="000000" w:sz="2" w:space="0"/>
                    <w:left w:val="single" w:color="000000" w:sz="2" w:space="0"/>
                    <w:bottom w:val="single" w:color="000000" w:sz="2" w:space="0"/>
                  </w:tcBorders>
                  <w:shd w:val="clear" w:color="auto" w:fill="FFFFFF"/>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560" w:hRule="atLeast"/>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473,730,319.43</w:t>
                        </w:r>
                      </w:p>
                    </w:tc>
                  </w:tr>
                </w:tbl>
                <w:p>
                  <w:pPr>
                    <w:pStyle w:val="4"/>
                  </w:pPr>
                </w:p>
              </w:tc>
            </w:tr>
          </w:tbl>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p>
            <w:pPr>
              <w:pStyle w:val="4"/>
            </w:pPr>
          </w:p>
        </w:tc>
        <w:tc>
          <w:tcPr>
            <w:gridSpan w:val="16"/>
            <w:tcMar>
              <w:top w:w="0" w:type="dxa"/>
              <w:left w:w="0" w:type="dxa"/>
              <w:bottom w:w="0" w:type="dxa"/>
              <w:right w:w="0" w:type="dxa"/>
            </w:tcMar>
            <w:vAlign w:val="top"/>
          </w:tcPr>
          <w:p>
            <w:r>
              <w:rPr>
                <w:rFonts w:ascii="宋体" w:hAnsi="宋体" w:eastAsia="宋体" w:cs="宋体"/>
                <w:color w:val="000000"/>
                <w:sz w:val="16"/>
              </w:rPr>
              <w:t>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gridSpan w:val="2"/>
          </w:tcPr>
          <w:p>
            <w:pPr>
              <w:pStyle w:val="4"/>
            </w:pPr>
          </w:p>
        </w:tc>
        <w:tc>
          <w:p>
            <w:pPr>
              <w:pStyle w:val="4"/>
            </w:pPr>
          </w:p>
        </w:tc>
      </w:tr>
      <w:tr>
        <w:tblPrEx>
          <w:tblCellMar>
            <w:top w:w="0" w:type="dxa"/>
            <w:left w:w="10" w:type="dxa"/>
            <w:bottom w:w="0" w:type="dxa"/>
            <w:right w:w="10" w:type="dxa"/>
          </w:tblCellMar>
        </w:tblPrEx>
        <w:trPr>
          <w:trHeight w:val="8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三. 产品收益表现</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40" w:hRule="atLeast"/>
        </w:trPr>
        <w:tc>
          <w:p>
            <w:pPr>
              <w:pStyle w:val="4"/>
            </w:pPr>
          </w:p>
        </w:tc>
        <w:tc>
          <w:p>
            <w:pPr>
              <w:pStyle w:val="4"/>
            </w:pPr>
          </w:p>
        </w:tc>
        <w:tc>
          <w:p>
            <w:pPr>
              <w:pStyle w:val="4"/>
            </w:pPr>
          </w:p>
        </w:tc>
        <w:tc>
          <w:tcPr>
            <w:gridSpan w:val="11"/>
            <w:tcMar>
              <w:top w:w="0" w:type="dxa"/>
              <w:left w:w="0" w:type="dxa"/>
              <w:bottom w:w="0" w:type="dxa"/>
              <w:right w:w="0" w:type="dxa"/>
            </w:tcMar>
            <w:vAlign w:val="center"/>
          </w:tcPr>
          <w:p>
            <w:pPr>
              <w:spacing w:before="0" w:after="0" w:line="320" w:lineRule="exact"/>
              <w:ind w:firstLine="0"/>
              <w:jc w:val="left"/>
            </w:pPr>
            <w:r>
              <w:rPr>
                <w:rFonts w:ascii="宋体" w:hAnsi="宋体" w:eastAsia="宋体" w:cs="宋体"/>
                <w:color w:val="000000"/>
                <w:sz w:val="21"/>
              </w:rPr>
              <w:t>产品9K24037A自成立日以来，累计净值增长率为1.7240%，年化累计净值增长率为2.5271%。</w:t>
            </w:r>
            <w:r>
              <w:rPr>
                <w:rFonts w:ascii="宋体" w:hAnsi="宋体" w:eastAsia="宋体" w:cs="宋体"/>
                <w:color w:val="000000"/>
                <w:sz w:val="21"/>
              </w:rPr>
              <w:br w:type="textWrapping"/>
            </w:r>
            <w:r>
              <w:rPr>
                <w:rFonts w:ascii="宋体" w:hAnsi="宋体" w:eastAsia="宋体" w:cs="宋体"/>
                <w:color w:val="000000"/>
                <w:sz w:val="21"/>
              </w:rPr>
              <w:t>产品9K24037C自成立日以来，累计净值增长率为1.5850%，年化累计净值增长率为2.3234%。</w:t>
            </w:r>
            <w:r>
              <w:rPr>
                <w:rFonts w:ascii="宋体" w:hAnsi="宋体" w:eastAsia="宋体" w:cs="宋体"/>
                <w:color w:val="000000"/>
                <w:sz w:val="21"/>
              </w:rPr>
              <w:br w:type="textWrapping"/>
            </w:r>
            <w:r>
              <w:rPr>
                <w:rFonts w:ascii="宋体" w:hAnsi="宋体" w:eastAsia="宋体" w:cs="宋体"/>
                <w:color w:val="000000"/>
                <w:sz w:val="21"/>
              </w:rPr>
              <w:t>产品9K24037D自成立日以来，累计净值增长率为1.7240%，年化累计净值增长率为2.5271%。</w:t>
            </w:r>
            <w:r>
              <w:rPr>
                <w:rFonts w:ascii="宋体" w:hAnsi="宋体" w:eastAsia="宋体" w:cs="宋体"/>
                <w:color w:val="000000"/>
                <w:sz w:val="21"/>
              </w:rPr>
              <w:br w:type="textWrapping"/>
            </w:r>
            <w:r>
              <w:rPr>
                <w:rFonts w:ascii="宋体" w:hAnsi="宋体" w:eastAsia="宋体" w:cs="宋体"/>
                <w:color w:val="000000"/>
                <w:sz w:val="21"/>
              </w:rPr>
              <w:t>报告期末，产品净值表现具体如下：</w:t>
            </w: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20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2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9K240370</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1.01712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1,356,375,185.98</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2400" w:hRule="exact"/>
        </w:trPr>
        <w:tc>
          <w:p>
            <w:pPr>
              <w:pStyle w:val="4"/>
            </w:pPr>
          </w:p>
        </w:tc>
        <w:tc>
          <w:p>
            <w:pPr>
              <w:pStyle w:val="4"/>
            </w:pPr>
          </w:p>
        </w:tc>
        <w:tc>
          <w:p>
            <w:pPr>
              <w:pStyle w:val="4"/>
            </w:pPr>
          </w:p>
        </w:tc>
        <w:tc>
          <w:tcPr>
            <w:gridSpan w:val="17"/>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800"/>
              <w:gridCol w:w="2000"/>
              <w:gridCol w:w="2400"/>
              <w:gridCol w:w="2200"/>
              <w:gridCol w:w="23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销售代码</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估值日期</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产品份额净值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产品累计净值</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产品资产净值</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9K24037A</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762,711,443.12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9K24037C</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1.01585</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111,768,462.94</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7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9K24037D</w:t>
                        </w:r>
                      </w:p>
                    </w:tc>
                    <w:tc>
                      <w:p>
                        <w:pPr>
                          <w:pStyle w:val="4"/>
                        </w:pP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2023年6月30日</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4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1.01724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3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481,895,279.92</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56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四. 产品投资经理简介</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156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徐莹女士，上海财经大学金融学硕士，CFA，13年证券投资经验。2008年至2013年在兴业银行从事债券投资、组合投资管理，2013年至2021年任兴业基金管理有限公司固收投资部团队总监及基金经理，历任兴业定期开放债券型证券投资基金、兴业年年利定期开放债券型证券投资基金、兴业添利债券型证券投资基金、兴业14天理财债券型证券投资基金、兴业瑞丰6个月定期开放债券型证券投资基金、兴业奕祥混合型证券投资基金基金经理，2021年至今任兴银理财投资经理。擅长长期宏观趋势判断及中观产业分析，投资风格均衡稳定。</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7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五. 报告期内产品的投资策略和运作分析</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20" w:hRule="exact"/>
        </w:trPr>
        <w:tc>
          <w:p>
            <w:pPr>
              <w:pStyle w:val="4"/>
            </w:pPr>
          </w:p>
        </w:tc>
        <w:tc>
          <w:p>
            <w:pPr>
              <w:pStyle w:val="4"/>
            </w:pPr>
          </w:p>
        </w:tc>
        <w:tc>
          <w:p>
            <w:pPr>
              <w:pStyle w:val="4"/>
            </w:pPr>
          </w:p>
        </w:tc>
        <w:tc>
          <w:tcPr>
            <w:gridSpan w:val="4"/>
          </w:tcPr>
          <w:p>
            <w:pPr>
              <w:pStyle w:val="4"/>
            </w:pPr>
          </w:p>
        </w:tc>
        <w:tc>
          <w:tcPr>
            <w:gridSpan w:val="3"/>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8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一、市场回顾及市场展望。</w:t>
            </w:r>
            <w:r>
              <w:rPr>
                <w:rFonts w:ascii="宋体" w:hAnsi="宋体" w:eastAsia="宋体" w:cs="宋体"/>
                <w:color w:val="000000"/>
                <w:sz w:val="21"/>
              </w:rPr>
              <w:br w:type="textWrapping"/>
            </w:r>
            <w:r>
              <w:rPr>
                <w:rFonts w:ascii="宋体" w:hAnsi="宋体" w:eastAsia="宋体" w:cs="宋体"/>
                <w:color w:val="000000"/>
                <w:sz w:val="21"/>
              </w:rPr>
              <w:t xml:space="preserve">    首先，中长周期的角度（3-7年）可能是美国再工业化，中国商品滞销，中国叠加人口、地产的大顶，存在长时</w:t>
            </w: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p>
            <w:pPr>
              <w:pStyle w:val="4"/>
            </w:pPr>
          </w:p>
        </w:tc>
        <w:tc>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4/</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2"/>
          </w:tcPr>
          <w:p>
            <w:pPr>
              <w:pStyle w:val="4"/>
            </w:pPr>
          </w:p>
        </w:tc>
        <w:tc>
          <w:tcPr>
            <w:gridSpan w:val="2"/>
          </w:tcPr>
          <w:p>
            <w:pPr>
              <w:pStyle w:val="4"/>
            </w:pPr>
          </w:p>
        </w:tc>
        <w:tc>
          <w:tcPr>
            <w:gridSpan w:val="2"/>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0" w:hRule="atLeast"/>
        </w:trPr>
        <w:tc>
          <w:p>
            <w:pPr>
              <w:pStyle w:val="4"/>
              <w:pageBreakBefore/>
            </w:pPr>
            <w:bookmarkStart w:id="4" w:name="JR_PAGE_ANCHOR_0_5"/>
            <w:bookmarkEnd w:id="4"/>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兴银理财增盈稳享封闭式37号固收类理财产品2023年第二季度报告</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392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间的资产负债表衰退的过程，类似日本90年代，但好在是个长周期的维度，同时，还有东南亚城镇化率的提升、中东的工业化，所以不影响短周期的市场判断。中期维度，本轮库存周期应该是个中等幅度的经济周期，比13年强，比16年弱，从时间维度上看，目前可能才走到 1/3的位置，23年大概处于弱复苏的阶段，节奏上三阶段，强预期、弱现实，再到政策发力，假设没有黑天鹅，从年尾回头看，虽然不一定大涨，但可能债券未必弱、股票存结构性机会，因此，债券不宜过于悲观，维持中性久期，保持谨慎心态可能更合适。股票前一阶段走“弱现实，预期转弱”的逻辑，但是市场有人工智能、中特估的催化，估值和情绪低位以及去年系统性风险的释放，使得市场较难有大幅回调，当前悲观预期逐步散去，情绪从乐观到悲观，再到理性中性，当前市场对政策和宏观周期的预期都很低，如果经济略有恢复，对市场将会是上涨期权，核心是资本市场和民营企业信心回来，价值和核心资产与科技成长都存在机会。</w:t>
            </w:r>
            <w:r>
              <w:rPr>
                <w:rFonts w:ascii="宋体" w:hAnsi="宋体" w:eastAsia="宋体" w:cs="宋体"/>
                <w:color w:val="000000"/>
                <w:sz w:val="21"/>
              </w:rPr>
              <w:br w:type="textWrapping"/>
            </w:r>
            <w:r>
              <w:rPr>
                <w:rFonts w:ascii="宋体" w:hAnsi="宋体" w:eastAsia="宋体" w:cs="宋体"/>
                <w:color w:val="000000"/>
                <w:sz w:val="21"/>
              </w:rPr>
              <w:t>二、组合策略。</w:t>
            </w:r>
            <w:r>
              <w:rPr>
                <w:rFonts w:ascii="宋体" w:hAnsi="宋体" w:eastAsia="宋体" w:cs="宋体"/>
                <w:color w:val="000000"/>
                <w:sz w:val="21"/>
              </w:rPr>
              <w:br w:type="textWrapping"/>
            </w:r>
            <w:r>
              <w:rPr>
                <w:rFonts w:ascii="宋体" w:hAnsi="宋体" w:eastAsia="宋体" w:cs="宋体"/>
                <w:color w:val="000000"/>
                <w:sz w:val="21"/>
              </w:rPr>
              <w:t xml:space="preserve">    增盈稳享37号为封闭式产品，债券部分采用衰竭式久期的配置方式，权益仓位低于10%，结构中，整体配置较为均衡，增加了中特估、TMT等行业配置比例，提升组合进攻性。</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8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center"/>
            </w:pPr>
            <w:r>
              <w:rPr>
                <w:rFonts w:ascii="宋体" w:hAnsi="宋体" w:eastAsia="宋体" w:cs="宋体"/>
                <w:b/>
                <w:color w:val="000000"/>
                <w:sz w:val="24"/>
              </w:rPr>
              <w:t>§ 六. 投资组合情况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16"/>
            <w:tcMar>
              <w:top w:w="0" w:type="dxa"/>
              <w:left w:w="0" w:type="dxa"/>
              <w:bottom w:w="0" w:type="dxa"/>
              <w:right w:w="0" w:type="dxa"/>
            </w:tcMar>
            <w:vAlign w:val="center"/>
          </w:tcPr>
          <w:p>
            <w:pPr>
              <w:jc w:val="left"/>
            </w:pPr>
            <w:r>
              <w:rPr>
                <w:rFonts w:ascii="宋体" w:hAnsi="宋体" w:eastAsia="宋体" w:cs="宋体"/>
                <w:b/>
                <w:color w:val="000000"/>
                <w:sz w:val="21"/>
              </w:rPr>
              <w:t>1.报告期末产品资产组合情况</w:t>
            </w:r>
          </w:p>
        </w:tc>
        <w:tc>
          <w:p>
            <w:pPr>
              <w:pStyle w:val="4"/>
            </w:pPr>
          </w:p>
        </w:tc>
      </w:tr>
      <w:tr>
        <w:tblPrEx>
          <w:tblCellMar>
            <w:top w:w="0" w:type="dxa"/>
            <w:left w:w="10" w:type="dxa"/>
            <w:bottom w:w="0" w:type="dxa"/>
            <w:right w:w="10" w:type="dxa"/>
          </w:tblCellMar>
        </w:tblPrEx>
        <w:trPr>
          <w:gridAfter w:val="2"/>
          <w:trHeight w:val="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5400" w:hRule="exact"/>
        </w:trPr>
        <w:tc>
          <w:p>
            <w:pPr>
              <w:pStyle w:val="4"/>
            </w:pPr>
          </w:p>
        </w:tc>
        <w:tc>
          <w:p>
            <w:pPr>
              <w:pStyle w:val="4"/>
            </w:pPr>
          </w:p>
        </w:tc>
        <w:tc>
          <w:tcPr>
            <w:gridSpan w:val="16"/>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600"/>
              <w:gridCol w:w="3600"/>
              <w:gridCol w:w="3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资产类型</w:t>
                        </w:r>
                      </w:p>
                    </w:tc>
                  </w:tr>
                </w:tbl>
                <w:p>
                  <w:pPr>
                    <w:pStyle w:val="4"/>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直接投资占产品总资产的比例（%）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0F8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间接投资占产品总资产的比例（%）</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现金及银行存款</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1.81</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公募基金</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7.92</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代客境外理财投资QDII</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1.15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金融衍生品</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-0.19</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债券</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49.35</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非标准化债权类资产</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39.96</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委外投资</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10.72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0.00</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总计</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2"/>
          <w:trHeight w:val="2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2.报告期末杠杆融资情况</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100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报告期末本产品总资产未超过该产品净资产规模的200%，符合产品协议对本产品杠杆比例的要求。</w:t>
            </w: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2040" w:hRule="exact"/>
        </w:trPr>
        <w:tc>
          <w:p>
            <w:pPr>
              <w:pStyle w:val="4"/>
            </w:pPr>
          </w:p>
        </w:tc>
        <w:tc>
          <w:p>
            <w:pPr>
              <w:pStyle w:val="4"/>
            </w:pPr>
          </w:p>
        </w:tc>
        <w:tc>
          <w:tcPr>
            <w:gridSpan w:val="5"/>
          </w:tcPr>
          <w:p>
            <w:pPr>
              <w:pStyle w:val="4"/>
            </w:pPr>
          </w:p>
        </w:tc>
        <w:tc>
          <w:tcPr>
            <w:gridSpan w:val="3"/>
          </w:tcPr>
          <w:p>
            <w:pPr>
              <w:pStyle w:val="4"/>
            </w:pPr>
          </w:p>
        </w:tc>
        <w:tc>
          <w:tcPr>
            <w:gridSpan w:val="2"/>
          </w:tcPr>
          <w:p>
            <w:pPr>
              <w:pStyle w:val="4"/>
            </w:pP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gridAfter w:val="2"/>
          <w:trHeight w:val="400" w:hRule="atLeast"/>
        </w:trPr>
        <w:tc>
          <w:p>
            <w:pPr>
              <w:pStyle w:val="4"/>
            </w:pPr>
          </w:p>
        </w:tc>
        <w:tc>
          <w:p>
            <w:pPr>
              <w:pStyle w:val="4"/>
            </w:pPr>
          </w:p>
        </w:tc>
        <w:tc>
          <w:tcPr>
            <w:gridSpan w:val="5"/>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5/</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2"/>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5" w:name="JR_PAGE_ANCHOR_0_6"/>
            <w:bookmarkEnd w:id="5"/>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兴银理财增盈稳享封闭式37号固收类理财产品2023年第二季度报告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15"/>
            <w:tcMar>
              <w:top w:w="0" w:type="dxa"/>
              <w:left w:w="0" w:type="dxa"/>
              <w:bottom w:w="0" w:type="dxa"/>
              <w:right w:w="0" w:type="dxa"/>
            </w:tcMar>
            <w:vAlign w:val="center"/>
          </w:tcPr>
          <w:p>
            <w:pPr>
              <w:jc w:val="left"/>
            </w:pPr>
            <w:r>
              <w:rPr>
                <w:rFonts w:ascii="宋体" w:hAnsi="宋体" w:eastAsia="宋体" w:cs="宋体"/>
                <w:b/>
                <w:color w:val="000000"/>
                <w:sz w:val="21"/>
              </w:rPr>
              <w:t>3.投资组合的流动性风险分析</w:t>
            </w:r>
          </w:p>
        </w:tc>
        <w:tc>
          <w:tcPr>
            <w:gridSpan w:val="4"/>
          </w:tcPr>
          <w:p>
            <w:pPr>
              <w:pStyle w:val="4"/>
            </w:pPr>
          </w:p>
        </w:tc>
        <w:tc>
          <w:p>
            <w:pPr>
              <w:pStyle w:val="4"/>
            </w:pPr>
          </w:p>
        </w:tc>
      </w:tr>
      <w:tr>
        <w:tblPrEx>
          <w:tblCellMar>
            <w:top w:w="0" w:type="dxa"/>
            <w:left w:w="10" w:type="dxa"/>
            <w:bottom w:w="0" w:type="dxa"/>
            <w:right w:w="10" w:type="dxa"/>
          </w:tblCellMar>
        </w:tblPrEx>
        <w:trPr>
          <w:trHeight w:val="2580" w:hRule="atLeast"/>
        </w:trPr>
        <w:tc>
          <w:p>
            <w:pPr>
              <w:pStyle w:val="4"/>
            </w:pPr>
          </w:p>
        </w:tc>
        <w:tc>
          <w:tcPr>
            <w:gridSpan w:val="15"/>
            <w:tcMar>
              <w:top w:w="0" w:type="dxa"/>
              <w:left w:w="0" w:type="dxa"/>
              <w:bottom w:w="0" w:type="dxa"/>
              <w:right w:w="0" w:type="dxa"/>
            </w:tcMar>
            <w:vAlign w:val="top"/>
          </w:tcPr>
          <w:p>
            <w:pPr>
              <w:spacing w:before="0" w:after="0" w:line="320" w:lineRule="exact"/>
              <w:ind w:firstLine="0"/>
              <w:jc w:val="left"/>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r>
            <w:r>
              <w:rPr>
                <w:rFonts w:ascii="宋体" w:hAnsi="宋体" w:eastAsia="宋体" w:cs="宋体"/>
                <w:color w:val="000000"/>
                <w:sz w:val="21"/>
              </w:rPr>
              <w:br w:type="textWrapping"/>
            </w:r>
            <w:r>
              <w:rPr>
                <w:rFonts w:ascii="宋体" w:hAnsi="宋体" w:eastAsia="宋体" w:cs="宋体"/>
                <w:color w:val="000000"/>
                <w:sz w:val="21"/>
              </w:rPr>
              <w:t xml:space="preserve">    为防范无法支付到期赎回款而产生的流动性风险，本理财产品管理人将合理安排所投资产期限，产品到期前完成所投资组合中相关资产变现，尽可能降低产品流动性风险，有效保障理财持有人利益。</w:t>
            </w:r>
            <w:r>
              <w:rPr>
                <w:rFonts w:ascii="宋体" w:hAnsi="宋体" w:eastAsia="宋体" w:cs="宋体"/>
                <w:color w:val="000000"/>
                <w:sz w:val="21"/>
              </w:rPr>
              <w:br w:type="textWrapping"/>
            </w:r>
            <w:r>
              <w:rPr>
                <w:rFonts w:ascii="宋体" w:hAnsi="宋体" w:eastAsia="宋体" w:cs="宋体"/>
                <w:color w:val="000000"/>
                <w:sz w:val="21"/>
              </w:rPr>
              <w:t xml:space="preserve">    报告期内，本理财产品管理人严格遵守相关法律法规以及产品销售协议，对理财产品组合资产的流动性风险进行管理，报告期内未发生流动性风险。</w:t>
            </w:r>
            <w:r>
              <w:rPr>
                <w:rFonts w:ascii="宋体" w:hAnsi="宋体" w:eastAsia="宋体" w:cs="宋体"/>
                <w:color w:val="000000"/>
                <w:sz w:val="21"/>
              </w:rPr>
              <w:br w:type="textWrapping"/>
            </w:r>
          </w:p>
        </w:tc>
        <w:tc>
          <w:tcPr>
            <w:gridSpan w:val="4"/>
          </w:tcPr>
          <w:p>
            <w:pPr>
              <w:pStyle w:val="4"/>
            </w:pPr>
          </w:p>
        </w:tc>
        <w:tc>
          <w:p>
            <w:pPr>
              <w:pStyle w:val="4"/>
            </w:pPr>
          </w:p>
        </w:tc>
      </w:tr>
      <w:tr>
        <w:tblPrEx>
          <w:tblCellMar>
            <w:top w:w="0" w:type="dxa"/>
            <w:left w:w="10" w:type="dxa"/>
            <w:bottom w:w="0" w:type="dxa"/>
            <w:right w:w="10" w:type="dxa"/>
          </w:tblCellMar>
        </w:tblPrEx>
        <w:trPr>
          <w:trHeight w:val="5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atLeast"/>
        </w:trPr>
        <w:tc>
          <w:p>
            <w:pPr>
              <w:pStyle w:val="4"/>
            </w:pPr>
          </w:p>
        </w:tc>
        <w:tc>
          <w:tcPr>
            <w:gridSpan w:val="2"/>
          </w:tcPr>
          <w:p>
            <w:pPr>
              <w:pStyle w:val="4"/>
            </w:pPr>
          </w:p>
        </w:tc>
        <w:tc>
          <w:tcPr>
            <w:gridSpan w:val="17"/>
            <w:tcMar>
              <w:top w:w="0" w:type="dxa"/>
              <w:left w:w="0" w:type="dxa"/>
              <w:bottom w:w="0" w:type="dxa"/>
              <w:right w:w="0" w:type="dxa"/>
            </w:tcMar>
            <w:vAlign w:val="center"/>
          </w:tcPr>
          <w:p>
            <w:r>
              <w:rPr>
                <w:rFonts w:ascii="宋体" w:hAnsi="宋体" w:eastAsia="宋体" w:cs="宋体"/>
                <w:b/>
                <w:color w:val="000000"/>
                <w:sz w:val="21"/>
              </w:rPr>
              <w:t>4.报告期末资产持仓前十基本信息</w:t>
            </w:r>
          </w:p>
        </w:tc>
        <w:tc>
          <w:p>
            <w:pPr>
              <w:pStyle w:val="4"/>
            </w:pPr>
          </w:p>
        </w:tc>
      </w:tr>
      <w:tr>
        <w:tblPrEx>
          <w:tblCellMar>
            <w:top w:w="0" w:type="dxa"/>
            <w:left w:w="10" w:type="dxa"/>
            <w:bottom w:w="0" w:type="dxa"/>
            <w:right w:w="10" w:type="dxa"/>
          </w:tblCellMar>
        </w:tblPrEx>
        <w:trPr>
          <w:trHeight w:val="6640" w:hRule="exact"/>
        </w:trPr>
        <w:tc>
          <w:p>
            <w:pPr>
              <w:pStyle w:val="4"/>
            </w:pPr>
          </w:p>
        </w:tc>
        <w:tc>
          <w:tcPr>
            <w:gridSpan w:val="2"/>
          </w:tcPr>
          <w:p>
            <w:pPr>
              <w:pStyle w:val="4"/>
            </w:pPr>
          </w:p>
        </w:tc>
        <w:tc>
          <w:tcPr>
            <w:gridSpan w:val="17"/>
            <w:tcBorders>
              <w:bottom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4000"/>
              <w:gridCol w:w="2600"/>
              <w:gridCol w:w="3100"/>
            </w:tblGrid>
            <w:tr>
              <w:tblPrEx>
                <w:tblCellMar>
                  <w:top w:w="0" w:type="dxa"/>
                  <w:left w:w="10" w:type="dxa"/>
                  <w:bottom w:w="0" w:type="dxa"/>
                  <w:right w:w="10" w:type="dxa"/>
                </w:tblCellMar>
              </w:tblPrEx>
              <w:trPr>
                <w:trHeight w:val="64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序号</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资产规模</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4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占产品资产净值的比例（%）</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22云南能源02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262,469,953.70</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19.35</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22绍兴镜湖08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100,725,532.88</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7.43</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22武侯资本01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80,550,604.93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22宁波通商MTN002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71,062,487.81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5.24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22南山开发MTN003</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61,801,152.33</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4.56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22漳九07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60,488,542.19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4.46</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7</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23乌经开建发01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55,684,862.26</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4.11</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21赣州发展MTN001</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53,440,381.51</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3.94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9</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22昆山创业MTN002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50,744,043.15</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3.74</w:t>
                        </w:r>
                      </w:p>
                    </w:tc>
                  </w:tr>
                </w:tbl>
                <w:p>
                  <w:pPr>
                    <w:pStyle w:val="4"/>
                  </w:pPr>
                </w:p>
              </w:tc>
            </w:tr>
            <w:tr>
              <w:tblPrEx>
                <w:tblCellMar>
                  <w:top w:w="0" w:type="dxa"/>
                  <w:left w:w="10" w:type="dxa"/>
                  <w:bottom w:w="0" w:type="dxa"/>
                  <w:right w:w="10" w:type="dxa"/>
                </w:tblCellMar>
              </w:tblPrEx>
              <w:trPr>
                <w:trHeight w:val="58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2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58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22广州开投MTN002</w:t>
                        </w:r>
                      </w:p>
                    </w:tc>
                  </w:tr>
                </w:tbl>
                <w:p>
                  <w:pPr>
                    <w:pStyle w:val="4"/>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50,655,432.19</w:t>
                        </w:r>
                      </w:p>
                    </w:tc>
                  </w:tr>
                </w:tbl>
                <w:p>
                  <w:pPr>
                    <w:pStyle w:val="4"/>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3.73</w:t>
                        </w:r>
                      </w:p>
                    </w:tc>
                  </w:tr>
                </w:tbl>
                <w:p>
                  <w:pPr>
                    <w:pStyle w:val="4"/>
                  </w:pPr>
                </w:p>
              </w:tc>
            </w:tr>
          </w:tbl>
          <w:p>
            <w:pPr>
              <w:pStyle w:val="4"/>
            </w:pPr>
          </w:p>
        </w:tc>
        <w:tc>
          <w:p>
            <w:pPr>
              <w:pStyle w:val="4"/>
            </w:pPr>
          </w:p>
        </w:tc>
      </w:tr>
      <w:tr>
        <w:tblPrEx>
          <w:tblCellMar>
            <w:top w:w="0" w:type="dxa"/>
            <w:left w:w="10" w:type="dxa"/>
            <w:bottom w:w="0" w:type="dxa"/>
            <w:right w:w="10" w:type="dxa"/>
          </w:tblCellMar>
        </w:tblPrEx>
        <w:trPr>
          <w:trHeight w:val="384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6/</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0" w:hRule="atLeast"/>
        </w:trPr>
        <w:tc>
          <w:p>
            <w:pPr>
              <w:pStyle w:val="4"/>
              <w:pageBreakBefore/>
            </w:pPr>
            <w:bookmarkStart w:id="6" w:name="JR_PAGE_ANCHOR_0_7"/>
            <w:bookmarkEnd w:id="6"/>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兴银理财增盈稳享封闭式37号固收类理财产品2023年第二季度报告</w:t>
            </w: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p>
            <w:pPr>
              <w:pStyle w:val="4"/>
            </w:pPr>
          </w:p>
        </w:tc>
      </w:tr>
      <w:tr>
        <w:tblPrEx>
          <w:tblCellMar>
            <w:top w:w="0" w:type="dxa"/>
            <w:left w:w="10" w:type="dxa"/>
            <w:bottom w:w="0" w:type="dxa"/>
            <w:right w:w="10" w:type="dxa"/>
          </w:tblCellMar>
        </w:tblPrEx>
        <w:trPr>
          <w:gridAfter w:val="4"/>
          <w:trHeight w:val="600" w:hRule="atLeast"/>
        </w:trPr>
        <w:tc>
          <w:p>
            <w:pPr>
              <w:pStyle w:val="4"/>
            </w:pPr>
          </w:p>
        </w:tc>
        <w:tc>
          <w:tcPr>
            <w:gridSpan w:val="15"/>
            <w:tcMar>
              <w:top w:w="0" w:type="dxa"/>
              <w:left w:w="0" w:type="dxa"/>
              <w:bottom w:w="0" w:type="dxa"/>
              <w:right w:w="0" w:type="dxa"/>
            </w:tcMar>
            <w:vAlign w:val="center"/>
          </w:tcPr>
          <w:p>
            <w:r>
              <w:rPr>
                <w:rFonts w:ascii="宋体" w:hAnsi="宋体" w:eastAsia="宋体" w:cs="宋体"/>
                <w:b/>
                <w:color w:val="000000"/>
                <w:sz w:val="21"/>
              </w:rPr>
              <w:t>5.报告期间关联交易情况</w:t>
            </w: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5.1 理财产品在报告期末投资关联方发行、承销的证券的情况</w:t>
            </w:r>
          </w:p>
        </w:tc>
        <w:tc>
          <w:p>
            <w:pPr>
              <w:pStyle w:val="4"/>
            </w:pPr>
          </w:p>
        </w:tc>
      </w:tr>
      <w:tr>
        <w:tblPrEx>
          <w:tblCellMar>
            <w:top w:w="0" w:type="dxa"/>
            <w:left w:w="10" w:type="dxa"/>
            <w:bottom w:w="0" w:type="dxa"/>
            <w:right w:w="10" w:type="dxa"/>
          </w:tblCellMar>
        </w:tblPrEx>
        <w:trPr>
          <w:gridAfter w:val="4"/>
          <w:trHeight w:val="9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gridCol w:w="3000"/>
              <w:gridCol w:w="41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承销商/发行人</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21赣州发展MTN001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22东阳国资01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22晋焦煤MTN002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22昆山创业MTN002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22昆山国创PPN001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22鲁黄金MTN002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22绍兴镜湖08</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22绍兴柯桥建设06</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49,000,000.00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22武侯资本01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80,000,000.00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22武进经发MTN003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兴业银行股份有限公司、九江银行股份有限公司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22湘高速MTN009</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22云南能源02</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260,000,000.00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23国贸房产MTN001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40,000,000.00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23建德国资03</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6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23乌经开建发01</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55,000,000.00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1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5.2 理财产品在报告期内其他关联交易</w:t>
            </w:r>
          </w:p>
        </w:tc>
        <w:tc>
          <w:p>
            <w:pPr>
              <w:pStyle w:val="4"/>
            </w:pPr>
          </w:p>
        </w:tc>
      </w:tr>
      <w:tr>
        <w:tblPrEx>
          <w:tblCellMar>
            <w:top w:w="0" w:type="dxa"/>
            <w:left w:w="10" w:type="dxa"/>
            <w:bottom w:w="0" w:type="dxa"/>
            <w:right w:w="10" w:type="dxa"/>
          </w:tblCellMar>
        </w:tblPrEx>
        <w:trPr>
          <w:gridAfter w:val="4"/>
          <w:trHeight w:val="24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交易标的</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交易金额（万元）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兴银理财增盈稳享封闭式37号固收类理财产品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10.17</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兴业期货-兴合4号集合资产管理计划</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0.30</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管理费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兴业期货有限公司</w:t>
                        </w:r>
                      </w:p>
                    </w:tc>
                  </w:tr>
                </w:tbl>
                <w:p>
                  <w:pPr>
                    <w:pStyle w:val="4"/>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兴银理财增盈稳享封闭式37号固收类理财产品</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34.64</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销售服务费</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兴业银行股份有限公司</w:t>
                        </w:r>
                      </w:p>
                    </w:tc>
                  </w:tr>
                </w:tbl>
                <w:p>
                  <w:pPr>
                    <w:pStyle w:val="4"/>
                  </w:pPr>
                </w:p>
              </w:tc>
            </w:tr>
          </w:tbl>
          <w:p>
            <w:pPr>
              <w:pStyle w:val="4"/>
            </w:pPr>
          </w:p>
        </w:tc>
        <w:tc>
          <w:p>
            <w:pPr>
              <w:pStyle w:val="4"/>
            </w:pPr>
          </w:p>
        </w:tc>
      </w:tr>
      <w:tr>
        <w:tblPrEx>
          <w:tblCellMar>
            <w:top w:w="0" w:type="dxa"/>
            <w:left w:w="10" w:type="dxa"/>
            <w:bottom w:w="0" w:type="dxa"/>
            <w:right w:w="10" w:type="dxa"/>
          </w:tblCellMar>
        </w:tblPrEx>
        <w:trPr>
          <w:gridAfter w:val="4"/>
          <w:trHeight w:val="2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11"/>
            <w:tcMar>
              <w:top w:w="0" w:type="dxa"/>
              <w:left w:w="0" w:type="dxa"/>
              <w:bottom w:w="0" w:type="dxa"/>
              <w:right w:w="0" w:type="dxa"/>
            </w:tcMar>
            <w:vAlign w:val="top"/>
          </w:tcPr>
          <w:p>
            <w:r>
              <w:rPr>
                <w:rFonts w:ascii="宋体" w:hAnsi="宋体" w:eastAsia="宋体" w:cs="宋体"/>
                <w:color w:val="000000"/>
                <w:sz w:val="20"/>
              </w:rPr>
              <w:t>5.3 理财产品在报告期内中的重大关联交易</w:t>
            </w:r>
          </w:p>
        </w:tc>
        <w:tc>
          <w:p>
            <w:pPr>
              <w:pStyle w:val="4"/>
            </w:pPr>
          </w:p>
        </w:tc>
      </w:tr>
      <w:tr>
        <w:tblPrEx>
          <w:tblCellMar>
            <w:top w:w="0" w:type="dxa"/>
            <w:left w:w="10" w:type="dxa"/>
            <w:bottom w:w="0" w:type="dxa"/>
            <w:right w:w="10" w:type="dxa"/>
          </w:tblCellMar>
        </w:tblPrEx>
        <w:trPr>
          <w:gridAfter w:val="4"/>
          <w:trHeight w:val="600" w:hRule="exact"/>
        </w:trPr>
        <w:tc>
          <w:p>
            <w:pPr>
              <w:pStyle w:val="4"/>
            </w:pPr>
          </w:p>
        </w:tc>
        <w:tc>
          <w:tcPr>
            <w:gridSpan w:val="4"/>
          </w:tcPr>
          <w:p>
            <w:pPr>
              <w:pStyle w:val="4"/>
            </w:pPr>
          </w:p>
        </w:tc>
        <w:tc>
          <w:tcPr>
            <w:gridSpan w:val="2"/>
          </w:tcPr>
          <w:p>
            <w:pPr>
              <w:pStyle w:val="4"/>
            </w:pPr>
          </w:p>
        </w:tc>
        <w:tc>
          <w:tcPr>
            <w:gridSpan w:val="3"/>
          </w:tcPr>
          <w:p>
            <w:pPr>
              <w:pStyle w:val="4"/>
            </w:pPr>
          </w:p>
        </w:tc>
        <w:tc>
          <w:tcPr>
            <w:gridSpan w:val="2"/>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gridAfter w:val="4"/>
          <w:trHeight w:val="400" w:hRule="atLeast"/>
        </w:trPr>
        <w:tc>
          <w:p>
            <w:pPr>
              <w:pStyle w:val="4"/>
            </w:pPr>
          </w:p>
        </w:tc>
        <w:tc>
          <w:tcPr>
            <w:gridSpan w:val="4"/>
          </w:tcPr>
          <w:p>
            <w:pPr>
              <w:pStyle w:val="4"/>
            </w:pPr>
          </w:p>
        </w:tc>
        <w:tc>
          <w:tcPr>
            <w:gridSpan w:val="2"/>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7/</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p>
            <w:pPr>
              <w:pStyle w:val="4"/>
            </w:pPr>
          </w:p>
        </w:tc>
      </w:tr>
      <w:tr>
        <w:tblPrEx>
          <w:tblCellMar>
            <w:top w:w="0" w:type="dxa"/>
            <w:left w:w="10" w:type="dxa"/>
            <w:bottom w:w="0" w:type="dxa"/>
            <w:right w:w="10" w:type="dxa"/>
          </w:tblCellMar>
        </w:tblPrEx>
        <w:trPr>
          <w:trHeight w:val="0" w:hRule="atLeast"/>
        </w:trPr>
        <w:tc>
          <w:p>
            <w:pPr>
              <w:pStyle w:val="4"/>
              <w:pageBreakBefore/>
            </w:pPr>
            <w:bookmarkStart w:id="7" w:name="JR_PAGE_ANCHOR_0_8"/>
            <w:bookmarkEnd w:id="7"/>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bottom"/>
          </w:tcPr>
          <w:p>
            <w:pPr>
              <w:spacing w:before="0" w:after="0" w:line="192" w:lineRule="auto"/>
              <w:jc w:val="left"/>
            </w:pPr>
            <w:r>
              <w:rPr>
                <w:rFonts w:ascii="宋体" w:hAnsi="宋体" w:eastAsia="宋体" w:cs="宋体"/>
                <w:color w:val="808080"/>
                <w:sz w:val="18"/>
              </w:rPr>
              <w:t>兴银理财增盈稳享封闭式37号固收类理财产品2023年第二季度报告</w:t>
            </w: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20" w:hRule="exact"/>
        </w:trPr>
        <w:tc>
          <w:p>
            <w:pPr>
              <w:pStyle w:val="4"/>
            </w:pPr>
          </w:p>
        </w:tc>
        <w:tc>
          <w:tcPr>
            <w:gridSpan w:val="15"/>
            <w:tcBorders>
              <w:top w:val="single" w:color="000000" w:sz="8" w:space="0"/>
            </w:tcBorders>
            <w:shd w:val="clear" w:color="auto" w:fill="FFFFFF"/>
            <w:tcMar>
              <w:top w:w="0" w:type="dxa"/>
              <w:left w:w="0" w:type="dxa"/>
              <w:bottom w:w="0" w:type="dxa"/>
              <w:right w:w="0" w:type="dxa"/>
            </w:tcMar>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gridCol w:w="2200"/>
              <w:gridCol w:w="2200"/>
              <w:gridCol w:w="3500"/>
            </w:tblGrid>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8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资产名称</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资产面额（元）</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交易类型</w:t>
                        </w:r>
                      </w:p>
                    </w:tc>
                  </w:tr>
                </w:tbl>
                <w:p>
                  <w:pPr>
                    <w:pStyle w:val="4"/>
                  </w:pPr>
                </w:p>
              </w:tc>
              <w:tc>
                <w:tcPr>
                  <w:tcBorders>
                    <w:top w:val="single" w:color="000000" w:sz="4" w:space="0"/>
                    <w:left w:val="single" w:color="000000" w:sz="4" w:space="0"/>
                    <w:bottom w:val="single" w:color="000000" w:sz="4" w:space="0"/>
                    <w:right w:val="single" w:color="000000" w:sz="4" w:space="0"/>
                  </w:tcBorders>
                  <w:shd w:val="clear" w:color="auto" w:fill="BFBFB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b/>
                            <w:color w:val="000000"/>
                            <w:sz w:val="21"/>
                          </w:rPr>
                          <w:t>关联方名称</w:t>
                        </w: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600" w:hRule="exact"/>
        </w:trPr>
        <w:tc>
          <w:p>
            <w:pPr>
              <w:pStyle w:val="4"/>
            </w:pPr>
          </w:p>
        </w:tc>
        <w:tc>
          <w:tcPr>
            <w:gridSpan w:val="1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700"/>
            </w:tblGrid>
            <w:tr>
              <w:tblPrEx>
                <w:tblCellMar>
                  <w:top w:w="0" w:type="dxa"/>
                  <w:left w:w="10" w:type="dxa"/>
                  <w:bottom w:w="0" w:type="dxa"/>
                  <w:right w:w="10" w:type="dxa"/>
                </w:tblCellMar>
              </w:tblPrEx>
              <w:trPr>
                <w:trHeight w:val="600" w:hRule="exact"/>
              </w:trPr>
              <w:tc>
                <w:tcPr>
                  <w:tcBorders>
                    <w:left w:val="single" w:color="000000" w:sz="4" w:space="0"/>
                    <w:bottom w:val="single" w:color="000000" w:sz="4" w:space="0"/>
                    <w:right w:val="single" w:color="000000" w:sz="4" w:space="0"/>
                  </w:tcBorders>
                  <w:shd w:val="clear" w:color="auto" w:fill="FFFFFF"/>
                  <w:tcMar>
                    <w:top w:w="0" w:type="dxa"/>
                    <w:left w:w="2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680"/>
                    <w:gridCol w:w="2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无</w:t>
                        </w:r>
                      </w:p>
                    </w:tc>
                    <w:tc>
                      <w:p>
                        <w:pPr>
                          <w:pStyle w:val="4"/>
                        </w:pPr>
                      </w:p>
                    </w:tc>
                  </w:tr>
                </w:tbl>
                <w:p>
                  <w:pPr>
                    <w:pStyle w:val="4"/>
                  </w:pPr>
                </w:p>
              </w:tc>
            </w:tr>
          </w:tbl>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1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17"/>
            <w:tcMar>
              <w:top w:w="0" w:type="dxa"/>
              <w:left w:w="0" w:type="dxa"/>
              <w:bottom w:w="0" w:type="dxa"/>
              <w:right w:w="0" w:type="dxa"/>
            </w:tcMar>
            <w:vAlign w:val="center"/>
          </w:tcPr>
          <w:p>
            <w:pPr>
              <w:jc w:val="left"/>
            </w:pPr>
            <w:r>
              <w:rPr>
                <w:rFonts w:ascii="宋体" w:hAnsi="宋体" w:eastAsia="宋体" w:cs="宋体"/>
                <w:b/>
                <w:color w:val="000000"/>
                <w:sz w:val="21"/>
              </w:rPr>
              <w:t>6.投资账户信息</w:t>
            </w:r>
          </w:p>
        </w:tc>
        <w:tc>
          <w:p>
            <w:pPr>
              <w:pStyle w:val="4"/>
            </w:pPr>
          </w:p>
        </w:tc>
      </w:tr>
      <w:tr>
        <w:tblPrEx>
          <w:tblCellMar>
            <w:top w:w="0" w:type="dxa"/>
            <w:left w:w="10" w:type="dxa"/>
            <w:bottom w:w="0" w:type="dxa"/>
            <w:right w:w="10" w:type="dxa"/>
          </w:tblCellMar>
        </w:tblPrEx>
        <w:trPr>
          <w:trHeight w:val="1200" w:hRule="exact"/>
        </w:trPr>
        <w:tc>
          <w:p>
            <w:pPr>
              <w:pStyle w:val="4"/>
            </w:pPr>
          </w:p>
        </w:tc>
        <w:tc>
          <w:tcPr>
            <w:gridSpan w:val="2"/>
          </w:tcPr>
          <w:p>
            <w:pPr>
              <w:pStyle w:val="4"/>
            </w:pPr>
          </w:p>
        </w:tc>
        <w:tc>
          <w:tcPr>
            <w:gridSpan w:val="17"/>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gridCol w:w="2200"/>
              <w:gridCol w:w="3000"/>
              <w:gridCol w:w="4500"/>
            </w:tblGrid>
            <w:tr>
              <w:tblPrEx>
                <w:tblCellMar>
                  <w:top w:w="0" w:type="dxa"/>
                  <w:left w:w="10" w:type="dxa"/>
                  <w:bottom w:w="0" w:type="dxa"/>
                  <w:right w:w="10" w:type="dxa"/>
                </w:tblCellMar>
              </w:tblPrEx>
              <w:trPr>
                <w:trHeight w:val="600" w:hRule="exact"/>
              </w:trPr>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bookmarkStart w:id="8" w:name="_GoBack" w:colFirst="0" w:colLast="3"/>
                        <w:r>
                          <w:rPr>
                            <w:rFonts w:ascii="宋体" w:hAnsi="宋体" w:eastAsia="宋体" w:cs="宋体"/>
                            <w:b/>
                            <w:color w:val="000000"/>
                            <w:sz w:val="21"/>
                          </w:rPr>
                          <w:t>序号</w:t>
                        </w:r>
                      </w:p>
                    </w:tc>
                  </w:tr>
                </w:tbl>
                <w:p>
                  <w:pPr>
                    <w:pStyle w:val="4"/>
                    <w:jc w:val="center"/>
                  </w:pPr>
                </w:p>
              </w:tc>
              <w:tc>
                <w:tcPr>
                  <w:tcBorders>
                    <w:top w:val="single" w:color="000000" w:sz="8" w:space="0"/>
                    <w:left w:val="single" w:color="000000" w:sz="8" w:space="0"/>
                    <w:bottom w:val="single" w:color="000000" w:sz="8" w:space="0"/>
                    <w:right w:val="single" w:color="000000" w:sz="8"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账户类型</w:t>
                        </w:r>
                      </w:p>
                    </w:tc>
                  </w:tr>
                </w:tbl>
                <w:p>
                  <w:pPr>
                    <w:pStyle w:val="4"/>
                    <w:jc w:val="center"/>
                  </w:pPr>
                </w:p>
              </w:tc>
              <w:tc>
                <w:tcPr>
                  <w:tcBorders>
                    <w:top w:val="single" w:color="000000" w:sz="8" w:space="0"/>
                    <w:left w:val="single" w:color="000000" w:sz="8" w:space="0"/>
                    <w:bottom w:val="single" w:color="000000" w:sz="8" w:space="0"/>
                    <w:right w:val="single" w:color="000000" w:sz="8"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账户编号</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B3B4B5"/>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shd w:val="clear" w:color="auto" w:fill="BFBFBF"/>
                        <w:tcMar>
                          <w:top w:w="0" w:type="dxa"/>
                          <w:left w:w="0" w:type="dxa"/>
                          <w:bottom w:w="0" w:type="dxa"/>
                          <w:right w:w="0" w:type="dxa"/>
                        </w:tcMar>
                        <w:vAlign w:val="center"/>
                      </w:tcPr>
                      <w:p>
                        <w:pPr>
                          <w:jc w:val="center"/>
                        </w:pPr>
                        <w:r>
                          <w:rPr>
                            <w:rFonts w:ascii="宋体" w:hAnsi="宋体" w:eastAsia="宋体" w:cs="宋体"/>
                            <w:b/>
                            <w:color w:val="000000"/>
                            <w:sz w:val="21"/>
                          </w:rPr>
                          <w:t>账户名称</w:t>
                        </w:r>
                      </w:p>
                    </w:tc>
                  </w:tr>
                </w:tbl>
                <w:p>
                  <w:pPr>
                    <w:pStyle w:val="4"/>
                    <w:jc w:val="center"/>
                  </w:pPr>
                </w:p>
              </w:tc>
            </w:tr>
            <w:tr>
              <w:tblPrEx>
                <w:tblCellMar>
                  <w:top w:w="0" w:type="dxa"/>
                  <w:left w:w="10" w:type="dxa"/>
                  <w:bottom w:w="0" w:type="dxa"/>
                  <w:right w:w="10" w:type="dxa"/>
                </w:tblCellMar>
              </w:tblPrEx>
              <w:trPr>
                <w:trHeight w:val="600" w:hRule="exact"/>
              </w:trPr>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1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1</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22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托管账户</w:t>
                        </w:r>
                      </w:p>
                    </w:tc>
                  </w:tr>
                </w:tbl>
                <w:p>
                  <w:pPr>
                    <w:pStyle w:val="4"/>
                    <w:jc w:val="center"/>
                  </w:pPr>
                </w:p>
              </w:tc>
              <w:tc>
                <w:tcPr>
                  <w:tcBorders>
                    <w:top w:val="single" w:color="000000" w:sz="4" w:space="0"/>
                    <w:left w:val="single" w:color="000000" w:sz="4" w:space="0"/>
                    <w:bottom w:val="single" w:color="000000" w:sz="4" w:space="0"/>
                    <w:right w:val="single" w:color="000000" w:sz="4" w:space="0"/>
                  </w:tcBorders>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30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051010100101456745</w:t>
                        </w:r>
                      </w:p>
                    </w:tc>
                  </w:tr>
                </w:tbl>
                <w:p>
                  <w:pPr>
                    <w:pStyle w:val="4"/>
                    <w:jc w:val="center"/>
                  </w:pPr>
                </w:p>
              </w:tc>
              <w:tc>
                <w:tcPr>
                  <w:tcBorders>
                    <w:top w:val="single" w:color="000000" w:sz="4" w:space="0"/>
                    <w:left w:val="single" w:color="000000" w:sz="4" w:space="0"/>
                    <w:bottom w:val="single" w:color="000000" w:sz="4" w:space="0"/>
                    <w:right w:val="single" w:color="000000" w:sz="4" w:space="0"/>
                  </w:tcBorders>
                  <w:shd w:val="clear" w:color="auto" w:fill="FFFFFF"/>
                  <w:tcMar>
                    <w:top w:w="0" w:type="dxa"/>
                    <w:left w:w="0" w:type="dxa"/>
                    <w:bottom w:w="0" w:type="dxa"/>
                    <w:right w:w="0" w:type="dxa"/>
                  </w:tcMar>
                </w:tcPr>
                <w:tbl>
                  <w:tblPr>
                    <w:tblStyle w:val="2"/>
                    <w:tblW w:w="0" w:type="auto"/>
                    <w:tblInd w:w="0" w:type="dxa"/>
                    <w:tblLayout w:type="fixed"/>
                    <w:tblCellMar>
                      <w:top w:w="0" w:type="dxa"/>
                      <w:left w:w="10" w:type="dxa"/>
                      <w:bottom w:w="0" w:type="dxa"/>
                      <w:right w:w="10" w:type="dxa"/>
                    </w:tblCellMar>
                  </w:tblPr>
                  <w:tblGrid>
                    <w:gridCol w:w="4500"/>
                  </w:tblGrid>
                  <w:tr>
                    <w:tblPrEx>
                      <w:tblCellMar>
                        <w:top w:w="0" w:type="dxa"/>
                        <w:left w:w="10" w:type="dxa"/>
                        <w:bottom w:w="0" w:type="dxa"/>
                        <w:right w:w="10" w:type="dxa"/>
                      </w:tblCellMar>
                    </w:tblPrEx>
                    <w:trPr>
                      <w:trHeight w:val="600" w:hRule="atLeast"/>
                    </w:trPr>
                    <w:tc>
                      <w:tcPr>
                        <w:tcMar>
                          <w:top w:w="0" w:type="dxa"/>
                          <w:left w:w="0" w:type="dxa"/>
                          <w:bottom w:w="0" w:type="dxa"/>
                          <w:right w:w="0" w:type="dxa"/>
                        </w:tcMar>
                        <w:vAlign w:val="center"/>
                      </w:tcPr>
                      <w:p>
                        <w:pPr>
                          <w:jc w:val="center"/>
                        </w:pPr>
                        <w:r>
                          <w:rPr>
                            <w:rFonts w:ascii="宋体" w:hAnsi="宋体" w:eastAsia="宋体" w:cs="宋体"/>
                            <w:color w:val="000000"/>
                            <w:sz w:val="21"/>
                          </w:rPr>
                          <w:t>兴银理财增盈稳享封闭式37号固收类理财产品</w:t>
                        </w:r>
                      </w:p>
                    </w:tc>
                  </w:tr>
                </w:tbl>
                <w:p>
                  <w:pPr>
                    <w:pStyle w:val="4"/>
                    <w:jc w:val="center"/>
                  </w:pPr>
                </w:p>
              </w:tc>
            </w:tr>
            <w:bookmarkEnd w:id="8"/>
          </w:tbl>
          <w:p>
            <w:pPr>
              <w:pStyle w:val="4"/>
            </w:pPr>
          </w:p>
        </w:tc>
        <w:tc>
          <w:p>
            <w:pPr>
              <w:pStyle w:val="4"/>
            </w:pPr>
          </w:p>
        </w:tc>
      </w:tr>
      <w:tr>
        <w:tblPrEx>
          <w:tblCellMar>
            <w:top w:w="0" w:type="dxa"/>
            <w:left w:w="10" w:type="dxa"/>
            <w:bottom w:w="0" w:type="dxa"/>
            <w:right w:w="10" w:type="dxa"/>
          </w:tblCellMar>
        </w:tblPrEx>
        <w:trPr>
          <w:trHeight w:val="96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center"/>
          </w:tcPr>
          <w:p>
            <w:pPr>
              <w:jc w:val="right"/>
            </w:pPr>
            <w:r>
              <w:rPr>
                <w:rFonts w:ascii="宋体" w:hAnsi="宋体" w:eastAsia="宋体" w:cs="宋体"/>
                <w:color w:val="000000"/>
                <w:sz w:val="21"/>
              </w:rPr>
              <w:t>兴银理财有限责任公司</w:t>
            </w: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15"/>
            <w:tcMar>
              <w:top w:w="0" w:type="dxa"/>
              <w:left w:w="0" w:type="dxa"/>
              <w:bottom w:w="0" w:type="dxa"/>
              <w:right w:w="0" w:type="dxa"/>
            </w:tcMar>
            <w:vAlign w:val="top"/>
          </w:tcPr>
          <w:p>
            <w:pPr>
              <w:jc w:val="right"/>
            </w:pPr>
            <w:r>
              <w:rPr>
                <w:rFonts w:ascii="宋体" w:hAnsi="宋体" w:eastAsia="宋体" w:cs="宋体"/>
                <w:color w:val="000000"/>
                <w:sz w:val="21"/>
              </w:rPr>
              <w:t>2023年7月21日</w:t>
            </w:r>
          </w:p>
        </w:tc>
        <w:tc>
          <w:tcPr>
            <w:gridSpan w:val="4"/>
          </w:tcPr>
          <w:p>
            <w:pPr>
              <w:pStyle w:val="4"/>
            </w:pPr>
          </w:p>
        </w:tc>
        <w:tc>
          <w:p>
            <w:pPr>
              <w:pStyle w:val="4"/>
            </w:pPr>
          </w:p>
        </w:tc>
      </w:tr>
      <w:tr>
        <w:tblPrEx>
          <w:tblCellMar>
            <w:top w:w="0" w:type="dxa"/>
            <w:left w:w="10" w:type="dxa"/>
            <w:bottom w:w="0" w:type="dxa"/>
            <w:right w:w="10" w:type="dxa"/>
          </w:tblCellMar>
        </w:tblPrEx>
        <w:trPr>
          <w:trHeight w:val="10080" w:hRule="exact"/>
        </w:trPr>
        <w:tc>
          <w:p>
            <w:pPr>
              <w:pStyle w:val="4"/>
            </w:pPr>
          </w:p>
        </w:tc>
        <w:tc>
          <w:tcPr>
            <w:gridSpan w:val="2"/>
          </w:tcPr>
          <w:p>
            <w:pPr>
              <w:pStyle w:val="4"/>
            </w:pPr>
          </w:p>
        </w:tc>
        <w:tc>
          <w:tcPr>
            <w:gridSpan w:val="4"/>
          </w:tcPr>
          <w:p>
            <w:pPr>
              <w:pStyle w:val="4"/>
            </w:pPr>
          </w:p>
        </w:tc>
        <w:tc>
          <w:tcPr>
            <w:gridSpan w:val="3"/>
          </w:tcPr>
          <w:p>
            <w:pPr>
              <w:pStyle w:val="4"/>
            </w:pPr>
          </w:p>
        </w:tc>
        <w:tc>
          <w:tcPr>
            <w:gridSpan w:val="2"/>
          </w:tcPr>
          <w:p>
            <w:pPr>
              <w:pStyle w:val="4"/>
            </w:pPr>
          </w:p>
        </w:tc>
        <w:tc>
          <w:tcPr>
            <w:gridSpan w:val="4"/>
          </w:tcPr>
          <w:p>
            <w:pPr>
              <w:pStyle w:val="4"/>
            </w:pPr>
          </w:p>
        </w:tc>
        <w:tc>
          <w:tcPr>
            <w:gridSpan w:val="4"/>
          </w:tcPr>
          <w:p>
            <w:pPr>
              <w:pStyle w:val="4"/>
            </w:pPr>
          </w:p>
        </w:tc>
        <w:tc>
          <w:p>
            <w:pPr>
              <w:pStyle w:val="4"/>
            </w:pPr>
          </w:p>
        </w:tc>
      </w:tr>
      <w:tr>
        <w:tblPrEx>
          <w:tblCellMar>
            <w:top w:w="0" w:type="dxa"/>
            <w:left w:w="10" w:type="dxa"/>
            <w:bottom w:w="0" w:type="dxa"/>
            <w:right w:w="10" w:type="dxa"/>
          </w:tblCellMar>
        </w:tblPrEx>
        <w:trPr>
          <w:trHeight w:val="400" w:hRule="atLeast"/>
        </w:trPr>
        <w:tc>
          <w:p>
            <w:pPr>
              <w:pStyle w:val="4"/>
            </w:pPr>
          </w:p>
        </w:tc>
        <w:tc>
          <w:tcPr>
            <w:gridSpan w:val="2"/>
          </w:tcPr>
          <w:p>
            <w:pPr>
              <w:pStyle w:val="4"/>
            </w:pPr>
          </w:p>
        </w:tc>
        <w:tc>
          <w:tcPr>
            <w:gridSpan w:val="4"/>
          </w:tcPr>
          <w:p>
            <w:pPr>
              <w:pStyle w:val="4"/>
            </w:pPr>
          </w:p>
        </w:tc>
        <w:tc>
          <w:tcPr>
            <w:gridSpan w:val="3"/>
            <w:tcMar>
              <w:top w:w="0" w:type="dxa"/>
              <w:left w:w="0" w:type="dxa"/>
              <w:bottom w:w="0" w:type="dxa"/>
              <w:right w:w="0" w:type="dxa"/>
            </w:tcMar>
            <w:vAlign w:val="top"/>
          </w:tcPr>
          <w:p>
            <w:pPr>
              <w:jc w:val="right"/>
            </w:pPr>
            <w:r>
              <w:rPr>
                <w:rFonts w:ascii="SansSerif" w:hAnsi="SansSerif" w:eastAsia="SansSerif" w:cs="SansSerif"/>
                <w:color w:val="000000"/>
                <w:sz w:val="18"/>
              </w:rPr>
              <w:t>8/</w:t>
            </w:r>
          </w:p>
        </w:tc>
        <w:tc>
          <w:tcPr>
            <w:gridSpan w:val="2"/>
            <w:tcMar>
              <w:top w:w="0" w:type="dxa"/>
              <w:left w:w="0" w:type="dxa"/>
              <w:bottom w:w="0" w:type="dxa"/>
              <w:right w:w="0" w:type="dxa"/>
            </w:tcMar>
            <w:vAlign w:val="top"/>
          </w:tcPr>
          <w:p>
            <w:pPr>
              <w:jc w:val="left"/>
            </w:pPr>
            <w:r>
              <w:rPr>
                <w:rFonts w:ascii="SansSerif" w:hAnsi="SansSerif" w:eastAsia="SansSerif" w:cs="SansSerif"/>
                <w:color w:val="000000"/>
                <w:sz w:val="18"/>
              </w:rPr>
              <w:t>8</w:t>
            </w:r>
          </w:p>
        </w:tc>
        <w:tc>
          <w:tcPr>
            <w:gridSpan w:val="4"/>
          </w:tcPr>
          <w:p>
            <w:pPr>
              <w:pStyle w:val="4"/>
            </w:pPr>
          </w:p>
        </w:tc>
        <w:tc>
          <w:tcPr>
            <w:gridSpan w:val="4"/>
          </w:tcPr>
          <w:p>
            <w:pPr>
              <w:pStyle w:val="4"/>
            </w:pPr>
          </w:p>
        </w:tc>
        <w:tc>
          <w:p>
            <w:pPr>
              <w:pStyle w:val="4"/>
            </w:pPr>
          </w:p>
        </w:tc>
      </w:tr>
    </w:tbl>
    <w:p/>
    <w:sectPr>
      <w:pgSz w:w="11900" w:h="16840"/>
      <w:pgMar w:top="600" w:right="560" w:bottom="240" w:left="600" w:header="0" w:footer="0" w:gutter="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documentProtection w:enforcement="0"/>
  <w:defaultTabStop w:val="800"/>
  <w:compat>
    <w:useFELayout/>
    <w:splitPgBreakAndParaMark/>
    <w:compatSetting w:name="compatibilityMode" w:uri="http://schemas.microsoft.com/office/word" w:val="12"/>
  </w:compat>
  <w:rsids>
    <w:rsidRoot w:val="00000000"/>
    <w:rsid w:val="6D774E9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EMPTY_CELL_STYLE"/>
    <w:qFormat/>
    <w:uiPriority w:val="0"/>
    <w:pPr>
      <w:spacing w:line="240" w:lineRule="auto"/>
    </w:pPr>
    <w:rPr>
      <w:rFonts w:ascii="SansSerif" w:hAnsi="SansSerif" w:eastAsia="SansSerif" w:cs="SansSerif"/>
      <w:color w:val="000000"/>
      <w:sz w:val="1"/>
      <w:szCs w:val="22"/>
    </w:rPr>
  </w:style>
  <w:style w:type="paragraph" w:customStyle="1" w:styleId="5">
    <w:name w:val="Table_TH"/>
    <w:qFormat/>
    <w:uiPriority w:val="0"/>
    <w:pPr>
      <w:spacing w:line="240" w:lineRule="auto"/>
    </w:pPr>
    <w:rPr>
      <w:rFonts w:ascii="SansSerif" w:hAnsi="SansSerif" w:eastAsia="SansSerif" w:cs="SansSerif"/>
      <w:color w:val="000000"/>
      <w:sz w:val="20"/>
      <w:szCs w:val="22"/>
    </w:rPr>
  </w:style>
  <w:style w:type="paragraph" w:customStyle="1" w:styleId="6">
    <w:name w:val="Table_CH"/>
    <w:qFormat/>
    <w:uiPriority w:val="0"/>
    <w:pPr>
      <w:spacing w:line="240" w:lineRule="auto"/>
    </w:pPr>
    <w:rPr>
      <w:rFonts w:ascii="SansSerif" w:hAnsi="SansSerif" w:eastAsia="SansSerif" w:cs="SansSerif"/>
      <w:color w:val="000000"/>
      <w:sz w:val="20"/>
      <w:szCs w:val="22"/>
    </w:rPr>
  </w:style>
  <w:style w:type="paragraph" w:customStyle="1" w:styleId="7">
    <w:name w:val="Table_TD"/>
    <w:qFormat/>
    <w:uiPriority w:val="0"/>
    <w:pPr>
      <w:spacing w:line="240" w:lineRule="auto"/>
    </w:pPr>
    <w:rPr>
      <w:rFonts w:ascii="SansSerif" w:hAnsi="SansSerif" w:eastAsia="SansSerif" w:cs="SansSerif"/>
      <w:color w:val="000000"/>
      <w:sz w:val="20"/>
      <w:szCs w:val="22"/>
    </w:rPr>
  </w:style>
  <w:style w:type="paragraph" w:customStyle="1" w:styleId="8">
    <w:name w:val="Table_CD"/>
    <w:qFormat/>
    <w:uiPriority w:val="0"/>
    <w:pPr>
      <w:spacing w:line="240" w:lineRule="auto"/>
    </w:pPr>
    <w:rPr>
      <w:rFonts w:ascii="SansSerif" w:hAnsi="SansSerif" w:eastAsia="SansSerif" w:cs="SansSerif"/>
      <w:color w:val="000000"/>
      <w:sz w:val="20"/>
      <w:szCs w:val="22"/>
    </w:rPr>
  </w:style>
  <w:style w:type="paragraph" w:customStyle="1" w:styleId="9">
    <w:name w:val="Table 3_TH"/>
    <w:qFormat/>
    <w:uiPriority w:val="0"/>
    <w:pPr>
      <w:spacing w:line="240" w:lineRule="auto"/>
    </w:pPr>
    <w:rPr>
      <w:rFonts w:ascii="SansSerif" w:hAnsi="SansSerif" w:eastAsia="SansSerif" w:cs="SansSerif"/>
      <w:color w:val="000000"/>
      <w:sz w:val="20"/>
      <w:szCs w:val="22"/>
    </w:rPr>
  </w:style>
  <w:style w:type="paragraph" w:customStyle="1" w:styleId="10">
    <w:name w:val="Table 3_CH"/>
    <w:qFormat/>
    <w:uiPriority w:val="0"/>
    <w:pPr>
      <w:spacing w:line="240" w:lineRule="auto"/>
    </w:pPr>
    <w:rPr>
      <w:rFonts w:ascii="SansSerif" w:hAnsi="SansSerif" w:eastAsia="SansSerif" w:cs="SansSerif"/>
      <w:color w:val="000000"/>
      <w:sz w:val="20"/>
      <w:szCs w:val="22"/>
    </w:rPr>
  </w:style>
  <w:style w:type="paragraph" w:customStyle="1" w:styleId="11">
    <w:name w:val="Table 3_TD"/>
    <w:qFormat/>
    <w:uiPriority w:val="0"/>
    <w:pPr>
      <w:spacing w:line="240" w:lineRule="auto"/>
    </w:pPr>
    <w:rPr>
      <w:rFonts w:ascii="SansSerif" w:hAnsi="SansSerif" w:eastAsia="SansSerif" w:cs="SansSerif"/>
      <w:color w:val="000000"/>
      <w:sz w:val="20"/>
      <w:szCs w:val="22"/>
    </w:rPr>
  </w:style>
  <w:style w:type="paragraph" w:customStyle="1" w:styleId="12">
    <w:name w:val="Table 4_TH"/>
    <w:qFormat/>
    <w:uiPriority w:val="0"/>
    <w:pPr>
      <w:spacing w:line="240" w:lineRule="auto"/>
    </w:pPr>
    <w:rPr>
      <w:rFonts w:ascii="SansSerif" w:hAnsi="SansSerif" w:eastAsia="SansSerif" w:cs="SansSerif"/>
      <w:color w:val="000000"/>
      <w:sz w:val="20"/>
      <w:szCs w:val="22"/>
    </w:rPr>
  </w:style>
  <w:style w:type="paragraph" w:customStyle="1" w:styleId="13">
    <w:name w:val="Table 4_CH"/>
    <w:qFormat/>
    <w:uiPriority w:val="0"/>
    <w:pPr>
      <w:spacing w:line="240" w:lineRule="auto"/>
    </w:pPr>
    <w:rPr>
      <w:rFonts w:ascii="SansSerif" w:hAnsi="SansSerif" w:eastAsia="SansSerif" w:cs="SansSerif"/>
      <w:color w:val="000000"/>
      <w:sz w:val="20"/>
      <w:szCs w:val="22"/>
    </w:rPr>
  </w:style>
  <w:style w:type="paragraph" w:customStyle="1" w:styleId="14">
    <w:name w:val="Table 4_TD"/>
    <w:qFormat/>
    <w:uiPriority w:val="0"/>
    <w:pPr>
      <w:spacing w:line="240" w:lineRule="auto"/>
    </w:pPr>
    <w:rPr>
      <w:rFonts w:ascii="SansSerif" w:hAnsi="SansSerif" w:eastAsia="SansSerif" w:cs="SansSerif"/>
      <w:color w:val="000000"/>
      <w:sz w:val="20"/>
      <w:szCs w:val="22"/>
    </w:rPr>
  </w:style>
  <w:style w:type="paragraph" w:customStyle="1" w:styleId="15">
    <w:name w:val="Table 1_TH"/>
    <w:qFormat/>
    <w:uiPriority w:val="0"/>
    <w:pPr>
      <w:spacing w:line="240" w:lineRule="auto"/>
    </w:pPr>
    <w:rPr>
      <w:rFonts w:ascii="SansSerif" w:hAnsi="SansSerif" w:eastAsia="SansSerif" w:cs="SansSerif"/>
      <w:color w:val="000000"/>
      <w:sz w:val="20"/>
      <w:szCs w:val="22"/>
    </w:rPr>
  </w:style>
  <w:style w:type="paragraph" w:customStyle="1" w:styleId="16">
    <w:name w:val="Table 1_CH"/>
    <w:qFormat/>
    <w:uiPriority w:val="0"/>
    <w:pPr>
      <w:spacing w:line="240" w:lineRule="auto"/>
    </w:pPr>
    <w:rPr>
      <w:rFonts w:ascii="SansSerif" w:hAnsi="SansSerif" w:eastAsia="SansSerif" w:cs="SansSerif"/>
      <w:color w:val="000000"/>
      <w:sz w:val="20"/>
      <w:szCs w:val="22"/>
    </w:rPr>
  </w:style>
  <w:style w:type="paragraph" w:customStyle="1" w:styleId="17">
    <w:name w:val="Table 1_TD"/>
    <w:qFormat/>
    <w:uiPriority w:val="0"/>
    <w:pPr>
      <w:spacing w:line="240" w:lineRule="auto"/>
    </w:pPr>
    <w:rPr>
      <w:rFonts w:ascii="SansSerif" w:hAnsi="SansSerif" w:eastAsia="SansSerif" w:cs="SansSerif"/>
      <w:color w:val="000000"/>
      <w:sz w:val="20"/>
      <w:szCs w:val="22"/>
    </w:rPr>
  </w:style>
  <w:style w:type="paragraph" w:customStyle="1" w:styleId="18">
    <w:name w:val="Table 2_TH"/>
    <w:qFormat/>
    <w:uiPriority w:val="0"/>
    <w:pPr>
      <w:spacing w:line="240" w:lineRule="auto"/>
    </w:pPr>
    <w:rPr>
      <w:rFonts w:ascii="SansSerif" w:hAnsi="SansSerif" w:eastAsia="SansSerif" w:cs="SansSerif"/>
      <w:color w:val="000000"/>
      <w:sz w:val="20"/>
      <w:szCs w:val="22"/>
    </w:rPr>
  </w:style>
  <w:style w:type="paragraph" w:customStyle="1" w:styleId="19">
    <w:name w:val="Table 2_CH"/>
    <w:qFormat/>
    <w:uiPriority w:val="0"/>
    <w:pPr>
      <w:spacing w:line="240" w:lineRule="auto"/>
    </w:pPr>
    <w:rPr>
      <w:rFonts w:ascii="SansSerif" w:hAnsi="SansSerif" w:eastAsia="SansSerif" w:cs="SansSerif"/>
      <w:color w:val="000000"/>
      <w:sz w:val="20"/>
      <w:szCs w:val="22"/>
    </w:rPr>
  </w:style>
  <w:style w:type="paragraph" w:customStyle="1" w:styleId="20">
    <w:name w:val="Table 2_TD"/>
    <w:qFormat/>
    <w:uiPriority w:val="0"/>
    <w:pPr>
      <w:spacing w:line="240" w:lineRule="auto"/>
    </w:pPr>
    <w:rPr>
      <w:rFonts w:ascii="SansSerif" w:hAnsi="SansSerif" w:eastAsia="SansSerif" w:cs="SansSerif"/>
      <w:color w:val="000000"/>
      <w:sz w:val="20"/>
      <w:szCs w:val="22"/>
    </w:rPr>
  </w:style>
  <w:style w:type="paragraph" w:customStyle="1" w:styleId="21">
    <w:name w:val="Table 5_TH"/>
    <w:qFormat/>
    <w:uiPriority w:val="0"/>
    <w:pPr>
      <w:spacing w:line="240" w:lineRule="auto"/>
    </w:pPr>
    <w:rPr>
      <w:rFonts w:ascii="SansSerif" w:hAnsi="SansSerif" w:eastAsia="SansSerif" w:cs="SansSerif"/>
      <w:color w:val="000000"/>
      <w:sz w:val="20"/>
      <w:szCs w:val="22"/>
    </w:rPr>
  </w:style>
  <w:style w:type="paragraph" w:customStyle="1" w:styleId="22">
    <w:name w:val="Table 5_CH"/>
    <w:qFormat/>
    <w:uiPriority w:val="0"/>
    <w:pPr>
      <w:spacing w:line="240" w:lineRule="auto"/>
    </w:pPr>
    <w:rPr>
      <w:rFonts w:ascii="SansSerif" w:hAnsi="SansSerif" w:eastAsia="SansSerif" w:cs="SansSerif"/>
      <w:color w:val="000000"/>
      <w:sz w:val="20"/>
      <w:szCs w:val="22"/>
    </w:rPr>
  </w:style>
  <w:style w:type="paragraph" w:customStyle="1" w:styleId="23">
    <w:name w:val="Table 5_TD"/>
    <w:qFormat/>
    <w:uiPriority w:val="0"/>
    <w:pPr>
      <w:spacing w:line="240" w:lineRule="auto"/>
    </w:pPr>
    <w:rPr>
      <w:rFonts w:ascii="SansSerif" w:hAnsi="SansSerif" w:eastAsia="SansSerif" w:cs="SansSerif"/>
      <w:color w:val="000000"/>
      <w:sz w:val="20"/>
      <w:szCs w:val="22"/>
    </w:rPr>
  </w:style>
  <w:style w:type="paragraph" w:customStyle="1" w:styleId="24">
    <w:name w:val="Table 6_TH"/>
    <w:qFormat/>
    <w:uiPriority w:val="0"/>
    <w:pPr>
      <w:spacing w:line="240" w:lineRule="auto"/>
    </w:pPr>
    <w:rPr>
      <w:rFonts w:ascii="SansSerif" w:hAnsi="SansSerif" w:eastAsia="SansSerif" w:cs="SansSerif"/>
      <w:color w:val="000000"/>
      <w:sz w:val="20"/>
      <w:szCs w:val="22"/>
    </w:rPr>
  </w:style>
  <w:style w:type="paragraph" w:customStyle="1" w:styleId="25">
    <w:name w:val="Table 6_CH"/>
    <w:qFormat/>
    <w:uiPriority w:val="0"/>
    <w:pPr>
      <w:spacing w:line="240" w:lineRule="auto"/>
    </w:pPr>
    <w:rPr>
      <w:rFonts w:ascii="SansSerif" w:hAnsi="SansSerif" w:eastAsia="SansSerif" w:cs="SansSerif"/>
      <w:color w:val="000000"/>
      <w:sz w:val="20"/>
      <w:szCs w:val="22"/>
    </w:rPr>
  </w:style>
  <w:style w:type="paragraph" w:customStyle="1" w:styleId="26">
    <w:name w:val="Table 6_TD"/>
    <w:qFormat/>
    <w:uiPriority w:val="0"/>
    <w:pPr>
      <w:spacing w:line="240" w:lineRule="auto"/>
    </w:pPr>
    <w:rPr>
      <w:rFonts w:ascii="SansSerif" w:hAnsi="SansSerif" w:eastAsia="SansSerif" w:cs="SansSerif"/>
      <w:color w:val="000000"/>
      <w:sz w:val="20"/>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Office_11.8.2.8959_F1E327BC-269C-435d-A152-05C5408002CA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2023-07-20T02:32:14Z</dcterms:created>
  <dc:creator>cib</dc:creator>
  <cp:lastModifiedBy>cib</cp:lastModifiedBy>
  <dcterms:modified xsi:type="dcterms:W3CDTF">2023-07-20T02:32:43Z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