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1,931,485,105.11份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9K22022A：2.80%--4.40%/--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悦动稳享13号A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1,931,485,105.11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产品9K22022A自成立日以来，累计净值增长率为1.4910%，年化累计净值增长率为2.3158%。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1,960,291,824.76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1,960,291,824.76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120%固收+2%以内套保策略+2%转债策略。产品目前久期1.2年，杠杆120%。一季度产品运行较为稳健，目前随着债券价格的反弹，产品收益较为稳定。产品在二季度继续配入一些高息货币资产逐步降低组合久期，目前对持仓没有做大的调整。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172,053,014.54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131,073,869.38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52,106,282.88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23鲁国资MTN001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49,750,074.04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41,608,006.97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20海盐国资PPN001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41,448,078.36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41,100,637.26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40,872,917.26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40,869,958.36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22宁德时代GN001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22青岛城阳SCP003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