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6,198,872,158.58份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6,198,872,158.58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产品9K52021A自成立日以来，累计净值增长率为1.5230%，年化累计净值增长率为1.8717%。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6,293,288,687.93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6,293,288,687.93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1,622,750,458.17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1,491,328,840.15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170,449,310.00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Z存放同业（线上）20221209016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70,393,260.00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22南投集团SCP002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22新海连MTN007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