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936,555,977.67份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523,026,771.00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134,890,000.00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278,639,206.67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产品9K77701A自成立日以来，累计净值增长率为1.3980%，年化累计净值增长率为2.3733%。</w:t>
              <w:br/>
              <w:t xml:space="preserve">产品9K77701B自成立日以来，累计净值增长率为1.4650%，年化累计净值增长率为2.4871%。</w:t>
              <w:br/>
              <w:t xml:space="preserve">产品9K77701C自成立日以来，累计净值增长率为1.4490%，年化累计净值增长率为2.4599%。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949,880,250.20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530,339,163.52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136,865,701.33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282,675,385.35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景，本轮权益的主线应该还是在科技、高端制造、新能源等成长行业中。</w:t>
              <w:br/>
              <w:t xml:space="preserve">二、组合策略。</w:t>
              <w:br/>
              <w:t xml:space="preserve">    兴承恒享1号采用高仓位债券资产，久期0.5-1.5年；权益仓位低于10%，结构中，整体配置较为均衡，成长板块，维持高景气赛道绿色产业（即储能、光伏、风电）、汽车智能化的配置比例，均配周期价值等低估值板块，增加了中小盘、农业、可选消费、医药等行业配置比例，提升组合均衡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本产品聘请毕马威会计师事务所（特殊普通合伙）上海分所依据中国注册会计师审计准则对本产品的财务报表，包括2022年12月31日的资产负债表，自2022年05月31日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160,334,720.00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125,265,125.00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93,193,905.00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22安吉两山02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71,144,556.00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景顺长城景泰益利 010477.OF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35,567,497.28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海租6优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32,775,960.00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29,848,830.00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29,815,080.00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浦银安盛双债增强A 006466.OF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29,635,798.73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29,198,095.43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051010100101414557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