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兴银理财稳添利短债2号净值型理财产品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兴银理财稳添利短债2号净值型理财产品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9K810020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Z7002021000113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5,868,947,401.09份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中债新综合全价（1年以下）指数收益率/--</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稳添利短债ESG 2号A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3,931,834,396.61</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稳添利短债ESG 2号B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9K81002B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1,937,113,004.48</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产品9K81002A自成立日以来，累计净值增长率为6.1930%，年化累计净值增长率为3.9176%。</w:t>
              <w:br/>
              <w:t xml:space="preserve">产品9K81002B自成立日以来，累计净值增长率为6.3630%，年化累计净值增长率为4.0251%。</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1.06250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1.06250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6,235,731,393.34</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1.06193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4,175,351,018.41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1.06363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1.06363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2,060,380,374.93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王赫先生，复旦大学数学学士，复旦大学金融数学硕士，7年固定收益投资经历，2019年加入兴银理财。擅长宏观对冲和多beta组合管理，专注于固定收益投资，曾任广发银行金融市场部利率与衍生品交易员、组合管理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到边际抬升的资金利率、疫情、地产政策的边际变化，整体采取了防守的投资策略，尤其在10月后逐步做了减仓。在具体操作方面，主要从相对增配低波资产、减持债券资产等角度进行积极调仓，为组合平衡收益与流动性。</w:t>
              <w:br/>
              <w:t xml:space="preserve">二、2023一季度投资策略展望</w:t>
              <w:br/>
              <w:t xml:space="preserve">    后市展望：2022年至今，国内流动性保持宽松，债券跑赢除商品外的大部分大类资产，获得更加稳健回报。</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2022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3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25.35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74.40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22CSFD154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589,975,220.00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22CSFD152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499,979,000.00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招商银行成都分行大额存单20210820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499,344,000.00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浙商银行股份有限公司北京分行大额存单20210618001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499,215,500.00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22CSFD156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399,982,800.00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中再资管安心收益6号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200,966,850.83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21农发清发03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200,528,600.00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工商银行活期存款（南京）</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21农发清发04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121,679,280.00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20三明交建MTN001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120,268,080.00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18福建漳州MTN002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20海沧投资PPN001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20湖交投MTN002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20浦口康居MTN004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20如皋沿江PPN001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20三明交建MTN001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20益航资产PPN001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21国开绿债04清发</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21润达医疗MTN001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21苏沙钢MTN002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22大唐新能1ABN004优先(碳中和债)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22高淳国资SCP003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22象屿金象CP001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22雨花经开SCP002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兴银理财稳添利短债2号净值型理财产品2022年年度报告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051010100101211184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兴银理财稳添利短债2号净值型理财产品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