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兴银理财稳添利月盈1号(1个月最短持有期)日开固收类理财产品2022年年度报告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兴银理财稳添利月盈1号(1个月最短持有期)日开固收类理财产品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兴银理财稳添利月盈1号(1个月最短持有期)日开固收类理财产品2022年年度报告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兴银理财稳添利月盈1号(1个月最短持有期)日开固收类理财产品2022年年度报告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兴银理财稳添利月盈1号(1个月最短持有期)日开固收类理财产品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9K910210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Z7002022000079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13,042,529,279.6份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兴银稳添利月盈1号A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9K91021A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11,803,739,570.26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兴银稳添利月盈1号B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9K91021B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452,639,675.91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兴银稳添利月盈1号C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9K91021C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92,170,984.39</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兴银理财稳添利月盈1号(1个月最短持有期)日开固收类理财产品2022年年度报告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兴银稳添利月盈1号D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9K91021D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46,580,355.48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兴银稳添利月盈1号E</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9K91021E</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499.94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兴银稳添利月盈1号F</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9K91021F</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32,288,075.37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兴银稳添利月盈1号G</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9K91021G</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496,168,055.92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稳添利月盈1号H(私银)</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9K9102GH</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118,942,062.33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产品9K91021A自成立日以来，累计净值增长率为1.9880%，年化累计净值增长率为2.3869%。</w:t>
              <w:br/>
              <w:t xml:space="preserve">产品9K91021B自成立日以来，累计净值增长率为1.6910%，年化累计净值增长率为2.1581%。</w:t>
              <w:br/>
              <w:t xml:space="preserve">产品9K91021C自成立日以来，累计净值增长率为1.7370%，年化累计净值增长率为2.2168%。</w:t>
              <w:br/>
              <w:t xml:space="preserve">产品9K91021D自成立日以来，累计净值增长率为1.0686%，年化累计净值增长率为1.8934%。</w:t>
              <w:br/>
              <w:t xml:space="preserve">产品9K91021E自成立日以来，累计净值增长率为0.0380%，年化累计净值增长率为0.0750%。</w:t>
              <w:br/>
              <w:t xml:space="preserve">产品9K91021F自成立日以来，累计净值增长率为0.7600%，年化累计净值增长率为1.6611%。</w:t>
              <w:br/>
              <w:t xml:space="preserve">产品9K91021G自成立日以来，累计净值增长率为-0.1420%，年化累计净值增长率为-0.9967%。</w:t>
              <w:br/>
              <w:t xml:space="preserve">产品9K9102GH自成立日以来，累计净值增长率为-0.1300%，年化累计净值增长率为-0.9125%。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13,286,690,948.89</w:t>
                        </w:r>
                      </w:p>
                    </w:tc>
                  </w:tr>
                </w:tbl>
                <w:p>
                  <w:pPr>
                    <w:pStyle w:val="EMPTY_CELL_STYLE"/>
                  </w:pPr>
                </w:p>
              </w:tc>
            </w:tr>
          </w:tbl>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12,038,347,329.05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460,292,243.02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93,772,200.70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47,492,938.91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9K91021E</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500.13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9K91021F</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32,533,501.34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9K91021G</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495,465,043.90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9K9102GH</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118,787,191.79</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兴银理财稳添利月盈1号(1个月最短持有期)日开固收类理财产品2022年年度报告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逄博先生，上海交通大学金融硕士，上海交通大学数学与应用数学学士，拥有4年多债券投资交易经验。2019年加入兴银理财有限责任公司，现任兴银理财固定收益部投资经理，主要负责债券投资以及固收产品投资管理工作。</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2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兴银理财稳添利月盈1号(1个月最短持有期)日开固收类理财产品2022年年度报告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本产品聘请毕马威会计师事务所（特殊普通合伙）上海分所依据中国注册会计师审计准则对本产品的财务报表，包括2022年12月31日的资产负债表，自2022年03月03日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兴银理财稳添利月盈1号(1个月最短持有期)日开固收类理财产品2022年年度报告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4,265,942,844.93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3,943,102,944.74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1,146,588,055.70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Z存放同业（线上）20220530004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499,899,394.30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393,077,213.83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299,987,400.00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299,940,194.49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291,131,000.00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Z存放同业（线上）20220812009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199,959,982.86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兴银理财稳添利月盈1号(1个月最短持有期)日开固收类理财产品2022年年度报告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2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18太仓资产MTN001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20宁乡城投PPN002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22丹投CP001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22高淳建设MTN001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22桂投资MTN002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22今世缘CP002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22津城建CP013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22昆明交通SCP001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22连云金控MTN001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22铜陵建投GN001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22武汉生态MTN001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22厦国贸控SCP007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22象屿金象CP002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22钟楼新城PPN003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兴银理财稳添利月盈1号(1个月最短持有期)日开固收类理财产品2022年年度报告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051010100101369007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兴银理财稳添利月盈1号1个月最短持有期日开固收类理财产品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