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兴银理财兴承恒享稳盈一年定期开放10号固收类理财产品2022年年度报告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兴银理财兴承恒享稳盈一年定期开放10号固收类理财产品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兴银理财兴承恒享稳盈一年定期开放10号固收类理财产品2022年年度报告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兴银理财兴承恒享稳盈一年定期开放10号固收类理财产品2022年年度报告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兴银理财兴承恒享稳盈一年定期开放10号固收类理财产品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9K510520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Z7002022A000169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907,521,133.4份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个人定期(整存整取)一年+浮动基数2.65%/4.15%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兴银兴承恒享稳盈一年定开10号A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9K51052A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369,740,833.40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兴银兴承恒享稳盈一年定开10号B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9K51052B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346,780,300.00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兴银兴承恒享稳盈一年定开10号C（名单制）</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9K51052C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191,000,000.00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兴银理财兴承恒享稳盈一年定期开放10号固收类理财产品2022年年度报告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产品9K51052A自成立日以来，累计净值增长率为0.9100%，年化累计净值增长率为1.5377%。</w:t>
              <w:br/>
              <w:t xml:space="preserve">产品9K51052B自成立日以来，累计净值增长率为0.9380%，年化累计净值增长率为1.5850%。</w:t>
              <w:br/>
              <w:t xml:space="preserve">产品9K51052C自成立日以来，累计净值增长率为1.0290%，年化累计净值增长率为1.7388%。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916,102,910.40</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373,103,919.65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350,032,851.11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9K51052C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192,966,139.64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伟君先生，现任兴银理财专户投资部投资经理，浙江大学经济学硕士，FRM，8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兴银理财兴承恒享稳盈一年定期开放10号固收类理财产品2022年年度报告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策落地，政策推出时点和力度大超市场预期，引发债券市场第一波调整。12月上旬，债市持续下跌导致理财产品净值回撤，理财赎回压力增大，持续抛售债券，引发流动性冲击，债市出现第二波下跌。12月下旬，国内疫情感染病例迎来高峰，经济基本面继续探底，且央行加大公开市场投放力度，债市有所回暖。</w:t>
              <w:br/>
              <w:t xml:space="preserve">2、产品运作</w:t>
              <w:br/>
              <w:t xml:space="preserve">    上半年：1月份资金面宽松带动收益率下行，产品采取提升久期、适度加杠杆的积极策略，票息打底的同时获取资本利得，业绩表现较为优异。2月市场回调后，及时止盈卖出利差压缩到极致的品种，降低债券仓位和组合久期；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b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t xml:space="preserve">二、2023年一季度展望与投资策略</w:t>
              <w:br/>
              <w:t xml:space="preserve">1、2023年一季度展望</w:t>
              <w:b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兴银理财兴承恒享稳盈一年定期开放10号固收类理财产品2022年年度报告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无</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兴银理财兴承恒享稳盈一年定期开放10号固收类理财产品2022年年度报告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22九龙江02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200,021,800.00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22江宁水务01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122,011,590.00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22西咸集团02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79,016,037.00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22广州资管MTN001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49,535,200.00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21连云城建PPN001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39,949,000.00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21华靖资产PPN001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35,099,120.00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19余姚城投MTN002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30,485,790.00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19漳州交运MTN001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30,300,330.00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21先行控股MTN001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30,076,230.00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20电建地产PPN001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30,017,640.00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19余姚城投MTN002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19漳州交运MTN001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20电建地产PPN001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20宿迁经开MTN001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21溧水经开PPN007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22嘉善国资MTN001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兴银理财兴承恒享稳盈一年定期开放10号固收类理财产品2022年年度报告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9K510520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22泰兴城投PPN001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051010100101402647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兴银理财兴承恒享稳盈一年定期开放10号固收类理财产品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6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