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兴银理财稳添利日盈1号日开固收类理财产品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22,508,356,280.53份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2.75%--3.50%/--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16,902,550,852.75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1,362,437,452.94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1,837,998,917.93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98,395,237.97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日盈1号-兴业保A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22,134,413.35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日盈1号-兴业保B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39,855,785.03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兴银稳添利日盈1号H</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760,980,542.32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9K92001I</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1,484,003,078.24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产品9K92001A自成立日以来，累计净值增长率为1.5550%，年化累计净值增长率为2.5799%。</w:t>
              <w:br/>
              <w:t xml:space="preserve">产品9K92001B自成立日以来，累计净值增长率为1.4823%，年化累计净值增长率为2.5401%。</w:t>
              <w:br/>
              <w:t xml:space="preserve">产品9K92001C自成立日以来，累计净值增长率为1.1750%，年化累计净值增长率为2.4649%。</w:t>
              <w:br/>
              <w:t xml:space="preserve">产品9K92001D自成立日以来，累计净值增长率为1.1160%，年化累计净值增长率为2.3683%。</w:t>
              <w:br/>
              <w:t xml:space="preserve">产品9K92001F自成立日以来，累计净值增长率为0.5360%，年化累计净值增长率为2.3290%。</w:t>
              <w:br/>
              <w:t xml:space="preserve">产品9K92001G自成立日以来，累计净值增长率为0.5280%，年化累计净值增长率为2.2943%。</w:t>
              <w:br/>
              <w:t xml:space="preserve">产品9K92001H自成立日以来，累计净值增长率为0.9970%，年化累计净值增长率为5.5985%。</w:t>
              <w:br/>
              <w:t xml:space="preserve">产品9K92001I自成立日以来，累计净值增长率为0.1870%，年化累计净值增长率为2.2018%。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22,831,661,418.88</w:t>
                        </w:r>
                      </w:p>
                    </w:tc>
                  </w:tr>
                </w:tbl>
                <w:p>
                  <w:pPr>
                    <w:pStyle w:val="EMPTY_CELL_STYLE"/>
                  </w:pPr>
                </w:p>
              </w:tc>
            </w:tr>
          </w:tbl>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17,165,353,287.14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1,383,258,937.36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1,865,885,379.56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99,493,667.99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22,253,023.81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40,066,340.81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768,566,821.14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1,486,783,961.07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在11月债市经历较大调整时，结合产品负债情况适时加大了资产的配置力度，新增以同业存单、存放同业和高等级信用债为主的各类资产。同时，在年末增加跨年逆回购的融出，保证了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同时，我们会持续动态监控产品投资组合，保障产品合规、安全运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本产品聘请毕马威会计师事务所（特殊普通合伙）上海分所依据中国注册会计师审计准则对本产品的财务报表，包括2022年12月31日的资产负债表，自2022年05月26日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3,432,721,708.66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2,119,265,446.78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1,318,755,769.67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1,103,067,186.37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899,961,300.00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808,110,530.75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799,951,200.00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上海银行浦东分行大额存单20210329004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798,979,200.00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人保资管中短期配置28号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051010100101416542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