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产品9N21303A自成立日以来，累计净值增长率为4.7120%，年化累计净值增长率为3.1328%。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1,941,300,608.81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1,941,300,608.81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350,930,650.00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150,388,500.00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22东方债01BC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99,274,300.00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70,429,380.00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60,604,140.00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20长沙水业MTN001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50,721,900.00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50,206,850.00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