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兴业银行添利5号净值型理财产品</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兴业银行添利5号净值型理财产品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9B319021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23,353,209,515.46份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报告期内，本产品9B319021七日年化收益率均值2.8342%。同期业绩比较基准如下：</w:t>
            </w: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2021-01-01至2021-03-31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0.8297</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2.8940%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23,353,209,515.46</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汪锦女士，上海财经大学经济学硕士，国际金融理财师（CFP），中级经济师职称。银行理财产品创设、投资从业11年。 2005年历任上海银行金融市场部代客资产管理处固定收益投资经理、任同业“利多系列”产品经理；2013年加入兴业银行资产管理部产品研发处，任同业“稳增1号”、“稳增2号”产品的投资经理。2016年起，负责总行资产管理部流动性管理，总规模逾万亿，擅长大资金的资产配置和流动性管理，尤其善于管理同业理财产品。2019年5月起担任“兴业银行添利五号净值型理财产品”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1、宏观经济及市场情况</w:t>
              <w:br/>
              <w:t xml:space="preserve">    总体上看，国内债市一季度收益率呈冲高回落态势。年底至1月中旬，继续受去年年末永煤事件后央行宽松小周期的开启及一致的熊市预期，债市收益率区间震荡，10 年期国债收益率在 3.1%-3.2%区间波动；随后 1 月末至2月初，央行公开市场投放不及预期及央行官员表态，投资者担忧货币政策收紧，资金利率快速飙升，10 年期国债突破 3.2%；春节期间海外疫情控制能力及疫苗接种进度超预期，美债利率大幅上行，油价涨幅明显，10 年期国债冲高到3.29%；春节后，国内资金利率持续宽松，货币政策收紧担忧下降，虽海外美国启动了无上限 QE 以及 2 万亿美元的政府救助计划，此后又陆续开展了约 9000 亿美元的第二轮财政刺激计划及1.9万亿美元的新一轮财政刺激计划，疫情导致的美国货币超发现象明显，使得通胀担忧升温，美债利率上行至1.7%。但国内投资者“看空做多”，3月债市无视各种国内、国外利空，债市没有跟随海外，反而收益率一路向下。</w:t>
              <w:br/>
              <w:t xml:space="preserve">    2、前期运作回顾</w:t>
              <w:br/>
              <w:t xml:space="preserve">    报告期内（2021.1.1-2021.3.31），同业添利5号规模呈现先升后降再上升（从年初207亿到1月20日小峰值311亿，之后跌到1月末246亿再回升至3月中的320亿元）的趋势特点，这和整个一季度货币政策的松紧程度高度相关，也反应出本产品是机构客户的流动性管理利器。</w:t>
              <w:br/>
              <w:t xml:space="preserve">    截止3月31日，产品当日年化收益率3.03%，杠杆比例为132%。一季度日均284亿元，七日年化收益率均值2.83%。资产端方面，鉴于1月中旬流动性骤然收紧，资产建仓速度放缓，当月新建资产仅11亿元，2月、3月恢复正常，分别建仓35亿元和30亿元。一季度资产到期21亿元，卖出80亿元。卖出资产主要以短久期、低收益为主。从资产品种看，利率债5亿元，信用债40亿元，NCD31亿元。</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3、后期投资策略</w:t>
              <w:br/>
              <w:t xml:space="preserve">    展望二季度，随着国内经济金融指标走稳走强，中国经济韧性凸显。虽债券熊市基调不变，但空间有限。3月债市在犹豫中收益率一路下行，钝化各种国内国外的利空，已经打破了2020年末市场的一致预期。机构看空做多的迹象越来越明显。当前，信用利差、期限利差保护相对不足，市场亟待选择方向，我们认为二季度很有可能出现小幅调整行情，但过程大概率较为温和。           </w:t>
              <w:br/>
              <w:t xml:space="preserve">    信用方面，随着货币政策走向正常化，信用扩张放缓带来的信用事件发生不可避免。4月仍然是信用债偿债高峰，信用分化的背景下，部分区域再融资困难，一旦弱资质企业风险暴露，政策的态度和行动也有望对债券市场释放更多明确的信号。此外，二季度地方债供给和基本面的数据将对无风险利率的产生新的边际定价，从而牵引信用债走势。依然规避部分地区、弱资质等信用品种，加大存款存单的配置。总之，我们将深入研究分析宏观经济运行规律和利率变化趋势，综合考量各投资品种的风险收益特征，在此基础上自上而下地制定科学有效的投资策略。</w:t>
              <w:br/>
              <w:br/>
              <w:t xml:space="preserve">   </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货币市场基金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Z存放同业20201028001（不可转让）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存放同业20200826001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21招商银行CD038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20进出12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20华融湘江银行CD032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20浦发银行CD469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20华融湘江银行CD140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18恒信租赁PPN003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19联发PPN003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16南京高新MTN001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18万科MTN001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18中广核租MTN001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20汉江国资SCP004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18首钢MTN002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19金川MTN001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18兴业租赁债03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兴业金融租赁有限责任公司、兴业银行股份有限公司</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3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18赣国资MTN002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18建信租赁债01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18江北建设PPN002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19海通恒信PPN001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18福清国资MTN002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18兴业租赁债01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19华夏租赁01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20华发大湾ABN005优先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16宏泰国资MTN001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20盐城东方MTN001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18海峡银行01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18青岛城投PPN002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18川发展MTN001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18建信租赁债03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18华夏租赁01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20华发大湾ABN004优先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20津能源MTN001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051010100100810699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兴业理财托管专户添利5号净值型理财产品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