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兴银理财灵动全天候1号净值型理财产品</w:t>
              <w:br/>
              <w:t xml:space="preserve">2020年第四季度报告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15,678,161,967.8份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灵动年年升1号A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12,442,806,132.30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灵动年年升1号B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3,235,355,835.50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产品9K212051自起息日以来，累计净值增长率为1.1740%，年化累计净值增长率为3.8260%。</w:t>
              <w:br/>
              <w:t xml:space="preserve">产品9K212151自起息日以来，累计净值增长率为1.1680%，年化累计净值增长率为3.8064%。</w:t>
              <w:br/>
              <w:t xml:space="preserve">产品9K212251自起息日以来，累计净值增长率为1.1980%，年化累计净值增长率为3.9042%。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15,862,207,527.83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12,588,089,292.15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3,274,118,235.68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予璋先生，复旦大学金融数学专业硕士和信息与计算机科学专业本科，具备金融和计算机双重背景。15年银行自营和公募基金从业经验，历任兴业银行资金营运中心汇率利率及债券交易处负责人、浙商基金总经理助理，专户投资委员会主席和固收总监、兴银理财多资产投资负责人，投资经验覆盖境内外债券、境内股票、汇率及全球衍生品。</w:t>
              <w:br/>
              <w:t xml:space="preserve">    高翰昆先生，英国诺丁汉大学理学硕士毕业，华东理工大学工科理学本科毕业。9年固收、权益投资交易经验，2年固收分析工具设计开发经验。历任万家基金管理有限公司股票交易员、债券交易员、交易部副总监、基金经理。森浦资讯固收专家。2020年7月加入兴业银行理财子公司，现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2020年第四季度，经济基本面继续反弹，出口及工业出现超预期表现，但货币增速出现拐点，显示货币政策开始调整。债券市场整体处于熊市筑底阶段，同时永煤债违约导致市场震荡加剧，信用出现分层。权益市场出现震荡突破的行情，板块轮动加剧，分化加剧，抱团效应依旧。本报告期内，本组合积极主动增配权益资产并做好行业均衡，避免了较大的波动。同时本组合根据债券市场期限结构及各利差变化情况，在控制整体久期及信用风险的前提下，积极主动择优配置各类债券类属子资产。</w:t>
              <w:br/>
              <w:t xml:space="preserve">    展望来年一季度，经济基本面料会继续修复，货币政策相机抉择而缓慢转弯。全球疫情得到控制后，全球流动性及对华政策重回视野。考虑到目前的股债风险溢价率及权益的估值情况，未来更有利于债券类资产。而权益资产在不断的正循环自我加强下，可能还有一段上行空间，但分化及轮动可能加大，需要自下而上精选板块及细分子行业。本组合将积极主动管理好大类资产的配置策略并精细化选择类属资产。</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兴银理财灵动全天候1号净值型理财产品2020年第四季度报告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Z京-同业借款20201209002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20CSFD102-02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7.57</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907,605,736.07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Z京-同业借款20200925002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20民生银行CD436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Z京-同业借款20200929001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20青岛农商行CD139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20华夏银行CD177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20浦发银行CD221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20郑州银行CD191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8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20漳州城投PPN001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20滨江房产MTN003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20南京浦口PPN007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19新投MTN001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20常德城投MTN001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19徐州高新MTN001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20成华旧城MTN001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19市北高新PPN002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19甘交建MTN002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20青岛海湾SCP002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20闽电子SCP007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19通商租赁PPN001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Z京-同业借款20201209002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兴业金融租赁有限责任公司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051010100101083886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2021年1月22日</w:t>
            </w:r>
          </w:p>
        </w:tc>
        <w:tc>
          <w:tcPr>
     </w:tcPr>
          <w:p>
            <w:pPr>
              <w:pStyle w:val="EMPTY_CELL_STYLE"/>
            </w:pPr>
          </w:p>
        </w:tc>
        <w:tc>
          <w:tcPr>
     </w:tcPr>
          <w:p>
            <w:pPr>
              <w:pStyle w:val="EMPTY_CELL_STYLE"/>
            </w:pPr>
          </w:p>
        </w:tc>
      </w:tr>
      <w:tr>
        <w:trPr>
          <w:trHeight w:hRule="exact" w:val="1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