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EA6A87">
        <w:trPr>
          <w:gridAfter w:val="4"/>
          <w:wAfter w:w="40" w:type="dxa"/>
        </w:trPr>
        <w:tc>
          <w:tcPr>
            <w:tcW w:w="1" w:type="dxa"/>
          </w:tcPr>
          <w:p w:rsidR="00EA6A87" w:rsidRDefault="00EA6A87">
            <w:pPr>
              <w:pStyle w:val="EMPTYCELLSTYLE"/>
            </w:pPr>
            <w:bookmarkStart w:id="0" w:name="JR_PAGE_ANCHOR_0_1"/>
            <w:bookmarkEnd w:id="0"/>
          </w:p>
        </w:tc>
        <w:tc>
          <w:tcPr>
            <w:tcW w:w="3020" w:type="dxa"/>
            <w:gridSpan w:val="6"/>
          </w:tcPr>
          <w:p w:rsidR="00EA6A87" w:rsidRDefault="00EA6A87">
            <w:pPr>
              <w:pStyle w:val="EMPTYCELLSTYLE"/>
            </w:pPr>
          </w:p>
        </w:tc>
        <w:tc>
          <w:tcPr>
            <w:tcW w:w="380" w:type="dxa"/>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2620" w:type="dxa"/>
            <w:gridSpan w:val="2"/>
          </w:tcPr>
          <w:p w:rsidR="00EA6A87" w:rsidRDefault="00EA6A87">
            <w:pPr>
              <w:pStyle w:val="EMPTYCELLSTYLE"/>
            </w:pP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bottom"/>
          </w:tcPr>
          <w:p w:rsidR="00EA6A87" w:rsidRDefault="00262EB3">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5号净值型理财产品S款2021年第一季度报告</w:t>
            </w: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3020" w:type="dxa"/>
            <w:gridSpan w:val="6"/>
          </w:tcPr>
          <w:p w:rsidR="00EA6A87" w:rsidRDefault="00EA6A87">
            <w:pPr>
              <w:pStyle w:val="EMPTYCELLSTYLE"/>
            </w:pPr>
          </w:p>
        </w:tc>
        <w:tc>
          <w:tcPr>
            <w:tcW w:w="380" w:type="dxa"/>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2620" w:type="dxa"/>
            <w:gridSpan w:val="2"/>
          </w:tcPr>
          <w:p w:rsidR="00EA6A87" w:rsidRDefault="00EA6A87">
            <w:pPr>
              <w:pStyle w:val="EMPTYCELLSTYLE"/>
            </w:pP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960"/>
        </w:trPr>
        <w:tc>
          <w:tcPr>
            <w:tcW w:w="1" w:type="dxa"/>
          </w:tcPr>
          <w:p w:rsidR="00EA6A87" w:rsidRDefault="00EA6A87">
            <w:pPr>
              <w:pStyle w:val="EMPTYCELLSTYLE"/>
            </w:pPr>
          </w:p>
        </w:tc>
        <w:tc>
          <w:tcPr>
            <w:tcW w:w="3020" w:type="dxa"/>
            <w:gridSpan w:val="6"/>
          </w:tcPr>
          <w:p w:rsidR="00EA6A87" w:rsidRDefault="00EA6A87">
            <w:pPr>
              <w:pStyle w:val="EMPTYCELLSTYLE"/>
            </w:pPr>
          </w:p>
        </w:tc>
        <w:tc>
          <w:tcPr>
            <w:tcW w:w="380" w:type="dxa"/>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2620" w:type="dxa"/>
            <w:gridSpan w:val="2"/>
          </w:tcPr>
          <w:p w:rsidR="00EA6A87" w:rsidRDefault="00EA6A87">
            <w:pPr>
              <w:pStyle w:val="EMPTYCELLSTYLE"/>
            </w:pP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302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spacing w:line="360" w:lineRule="auto"/>
              <w:jc w:val="center"/>
            </w:pPr>
            <w:r>
              <w:rPr>
                <w:rFonts w:ascii="宋体" w:eastAsia="宋体" w:hAnsi="宋体" w:cs="宋体"/>
                <w:b/>
                <w:color w:val="000000"/>
                <w:sz w:val="32"/>
              </w:rPr>
              <w:t>兴业银行天天万利宝稳利5号净值型理财产品S款</w:t>
            </w:r>
            <w:r>
              <w:rPr>
                <w:rFonts w:ascii="宋体" w:eastAsia="宋体" w:hAnsi="宋体" w:cs="宋体"/>
                <w:b/>
                <w:color w:val="000000"/>
                <w:sz w:val="32"/>
              </w:rPr>
              <w:br/>
              <w:t>2021年第一季度报告</w:t>
            </w:r>
          </w:p>
        </w:tc>
        <w:tc>
          <w:tcPr>
            <w:tcW w:w="1" w:type="dxa"/>
          </w:tcPr>
          <w:p w:rsidR="00EA6A87" w:rsidRDefault="00EA6A87">
            <w:pPr>
              <w:pStyle w:val="EMPTYCELLSTYLE"/>
            </w:pPr>
          </w:p>
        </w:tc>
      </w:tr>
      <w:tr w:rsidR="00EA6A87">
        <w:trPr>
          <w:gridAfter w:val="4"/>
          <w:wAfter w:w="40" w:type="dxa"/>
          <w:trHeight w:hRule="exact" w:val="6600"/>
        </w:trPr>
        <w:tc>
          <w:tcPr>
            <w:tcW w:w="1" w:type="dxa"/>
          </w:tcPr>
          <w:p w:rsidR="00EA6A87" w:rsidRDefault="00EA6A87">
            <w:pPr>
              <w:pStyle w:val="EMPTYCELLSTYLE"/>
            </w:pPr>
          </w:p>
        </w:tc>
        <w:tc>
          <w:tcPr>
            <w:tcW w:w="3020" w:type="dxa"/>
            <w:gridSpan w:val="6"/>
          </w:tcPr>
          <w:p w:rsidR="00EA6A87" w:rsidRDefault="00EA6A87">
            <w:pPr>
              <w:pStyle w:val="EMPTYCELLSTYLE"/>
            </w:pPr>
          </w:p>
        </w:tc>
        <w:tc>
          <w:tcPr>
            <w:tcW w:w="380" w:type="dxa"/>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2620" w:type="dxa"/>
            <w:gridSpan w:val="2"/>
          </w:tcPr>
          <w:p w:rsidR="00EA6A87" w:rsidRDefault="00EA6A87">
            <w:pPr>
              <w:pStyle w:val="EMPTYCELLSTYLE"/>
            </w:pP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3020" w:type="dxa"/>
            <w:gridSpan w:val="6"/>
          </w:tcPr>
          <w:p w:rsidR="00EA6A87" w:rsidRDefault="00EA6A87">
            <w:pPr>
              <w:pStyle w:val="EMPTYCELLSTYLE"/>
            </w:pPr>
          </w:p>
        </w:tc>
        <w:tc>
          <w:tcPr>
            <w:tcW w:w="7000" w:type="dxa"/>
            <w:gridSpan w:val="9"/>
            <w:tcMar>
              <w:top w:w="0" w:type="dxa"/>
              <w:left w:w="0" w:type="dxa"/>
              <w:bottom w:w="0" w:type="dxa"/>
              <w:right w:w="0" w:type="dxa"/>
            </w:tcMar>
            <w:vAlign w:val="center"/>
          </w:tcPr>
          <w:p w:rsidR="00EA6A87" w:rsidRDefault="00262EB3">
            <w:pPr>
              <w:jc w:val="left"/>
            </w:pPr>
            <w:r>
              <w:rPr>
                <w:rFonts w:ascii="宋体" w:eastAsia="宋体" w:hAnsi="宋体" w:cs="宋体"/>
                <w:color w:val="000000"/>
                <w:sz w:val="24"/>
              </w:rPr>
              <w:t>理财产品管理人：兴业银行股份有限公司</w:t>
            </w: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3020" w:type="dxa"/>
            <w:gridSpan w:val="6"/>
          </w:tcPr>
          <w:p w:rsidR="00EA6A87" w:rsidRDefault="00EA6A87">
            <w:pPr>
              <w:pStyle w:val="EMPTYCELLSTYLE"/>
            </w:pPr>
          </w:p>
        </w:tc>
        <w:tc>
          <w:tcPr>
            <w:tcW w:w="7000" w:type="dxa"/>
            <w:gridSpan w:val="9"/>
            <w:tcMar>
              <w:top w:w="0" w:type="dxa"/>
              <w:left w:w="0" w:type="dxa"/>
              <w:bottom w:w="0" w:type="dxa"/>
              <w:right w:w="0" w:type="dxa"/>
            </w:tcMar>
            <w:vAlign w:val="center"/>
          </w:tcPr>
          <w:p w:rsidR="00EA6A87" w:rsidRDefault="00262EB3">
            <w:pPr>
              <w:jc w:val="left"/>
            </w:pPr>
            <w:r>
              <w:rPr>
                <w:rFonts w:ascii="宋体" w:eastAsia="宋体" w:hAnsi="宋体" w:cs="宋体"/>
                <w:color w:val="000000"/>
                <w:sz w:val="24"/>
              </w:rPr>
              <w:t>理财产品托管人：兴业银行股份有限公司</w:t>
            </w: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3020" w:type="dxa"/>
            <w:gridSpan w:val="6"/>
          </w:tcPr>
          <w:p w:rsidR="00EA6A87" w:rsidRDefault="00EA6A87">
            <w:pPr>
              <w:pStyle w:val="EMPTYCELLSTYLE"/>
            </w:pPr>
          </w:p>
        </w:tc>
        <w:tc>
          <w:tcPr>
            <w:tcW w:w="7000" w:type="dxa"/>
            <w:gridSpan w:val="9"/>
            <w:tcMar>
              <w:top w:w="0" w:type="dxa"/>
              <w:left w:w="0" w:type="dxa"/>
              <w:bottom w:w="0" w:type="dxa"/>
              <w:right w:w="0" w:type="dxa"/>
            </w:tcMar>
            <w:vAlign w:val="center"/>
          </w:tcPr>
          <w:p w:rsidR="00EA6A87" w:rsidRDefault="00262EB3">
            <w:pPr>
              <w:jc w:val="left"/>
            </w:pPr>
            <w:r>
              <w:rPr>
                <w:rFonts w:ascii="宋体" w:eastAsia="宋体" w:hAnsi="宋体" w:cs="宋体"/>
                <w:color w:val="000000"/>
                <w:sz w:val="24"/>
              </w:rPr>
              <w:t>报告送出日期：2021年4月22日</w:t>
            </w: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2720"/>
        </w:trPr>
        <w:tc>
          <w:tcPr>
            <w:tcW w:w="1" w:type="dxa"/>
          </w:tcPr>
          <w:p w:rsidR="00EA6A87" w:rsidRDefault="00EA6A87">
            <w:pPr>
              <w:pStyle w:val="EMPTYCELLSTYLE"/>
            </w:pPr>
          </w:p>
        </w:tc>
        <w:tc>
          <w:tcPr>
            <w:tcW w:w="3020" w:type="dxa"/>
            <w:gridSpan w:val="6"/>
          </w:tcPr>
          <w:p w:rsidR="00EA6A87" w:rsidRDefault="00EA6A87">
            <w:pPr>
              <w:pStyle w:val="EMPTYCELLSTYLE"/>
            </w:pPr>
          </w:p>
        </w:tc>
        <w:tc>
          <w:tcPr>
            <w:tcW w:w="380" w:type="dxa"/>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2620" w:type="dxa"/>
            <w:gridSpan w:val="2"/>
          </w:tcPr>
          <w:p w:rsidR="00EA6A87" w:rsidRDefault="00EA6A87">
            <w:pPr>
              <w:pStyle w:val="EMPTYCELLSTYLE"/>
            </w:pP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3020" w:type="dxa"/>
            <w:gridSpan w:val="6"/>
          </w:tcPr>
          <w:p w:rsidR="00EA6A87" w:rsidRDefault="00EA6A87">
            <w:pPr>
              <w:pStyle w:val="EMPTYCELLSTYLE"/>
            </w:pPr>
          </w:p>
        </w:tc>
        <w:tc>
          <w:tcPr>
            <w:tcW w:w="380" w:type="dxa"/>
          </w:tcPr>
          <w:p w:rsidR="00EA6A87" w:rsidRDefault="00EA6A87">
            <w:pPr>
              <w:pStyle w:val="EMPTYCELLSTYLE"/>
            </w:pPr>
          </w:p>
        </w:tc>
        <w:tc>
          <w:tcPr>
            <w:tcW w:w="2000" w:type="dxa"/>
            <w:gridSpan w:val="4"/>
            <w:tcMar>
              <w:top w:w="0" w:type="dxa"/>
              <w:left w:w="0" w:type="dxa"/>
              <w:bottom w:w="0" w:type="dxa"/>
              <w:right w:w="0" w:type="dxa"/>
            </w:tcMar>
          </w:tcPr>
          <w:p w:rsidR="00EA6A87" w:rsidRDefault="00262EB3">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EA6A87" w:rsidRDefault="00262EB3">
            <w:pPr>
              <w:jc w:val="left"/>
            </w:pPr>
            <w:r>
              <w:rPr>
                <w:rFonts w:ascii="SansSerif" w:eastAsia="SansSerif" w:hAnsi="SansSerif" w:cs="SansSerif"/>
                <w:color w:val="000000"/>
                <w:sz w:val="18"/>
              </w:rPr>
              <w:t>8</w:t>
            </w:r>
          </w:p>
        </w:tc>
        <w:tc>
          <w:tcPr>
            <w:tcW w:w="2620" w:type="dxa"/>
            <w:gridSpan w:val="2"/>
          </w:tcPr>
          <w:p w:rsidR="00EA6A87" w:rsidRDefault="00EA6A87">
            <w:pPr>
              <w:pStyle w:val="EMPTYCELLSTYLE"/>
            </w:pPr>
          </w:p>
        </w:tc>
        <w:tc>
          <w:tcPr>
            <w:tcW w:w="680" w:type="dxa"/>
            <w:gridSpan w:val="4"/>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Pr>
        <w:tc>
          <w:tcPr>
            <w:tcW w:w="1" w:type="dxa"/>
          </w:tcPr>
          <w:p w:rsidR="00EA6A87" w:rsidRDefault="00EA6A87">
            <w:pPr>
              <w:pStyle w:val="EMPTYCELLSTYLE"/>
              <w:pageBreakBefore/>
            </w:pPr>
            <w:bookmarkStart w:id="1" w:name="JR_PAGE_ANCHOR_0_2"/>
            <w:bookmarkEnd w:id="1"/>
          </w:p>
        </w:tc>
        <w:tc>
          <w:tcPr>
            <w:tcW w:w="100" w:type="dxa"/>
            <w:gridSpan w:val="3"/>
          </w:tcPr>
          <w:p w:rsidR="00EA6A87" w:rsidRDefault="00EA6A87">
            <w:pPr>
              <w:pStyle w:val="EMPTYCELLSTYLE"/>
            </w:pPr>
          </w:p>
        </w:tc>
        <w:tc>
          <w:tcPr>
            <w:tcW w:w="3300" w:type="dxa"/>
            <w:gridSpan w:val="4"/>
          </w:tcPr>
          <w:p w:rsidR="00EA6A87" w:rsidRDefault="00EA6A87">
            <w:pPr>
              <w:pStyle w:val="EMPTYCELLSTYLE"/>
            </w:pPr>
          </w:p>
        </w:tc>
        <w:tc>
          <w:tcPr>
            <w:tcW w:w="1000" w:type="dxa"/>
            <w:gridSpan w:val="2"/>
          </w:tcPr>
          <w:p w:rsidR="00EA6A87" w:rsidRDefault="00EA6A87">
            <w:pPr>
              <w:pStyle w:val="EMPTYCELLSTYLE"/>
            </w:pPr>
          </w:p>
        </w:tc>
        <w:tc>
          <w:tcPr>
            <w:tcW w:w="1000" w:type="dxa"/>
            <w:gridSpan w:val="2"/>
          </w:tcPr>
          <w:p w:rsidR="00EA6A87" w:rsidRDefault="00EA6A87">
            <w:pPr>
              <w:pStyle w:val="EMPTYCELLSTYLE"/>
            </w:pPr>
          </w:p>
        </w:tc>
        <w:tc>
          <w:tcPr>
            <w:tcW w:w="1000" w:type="dxa"/>
          </w:tcPr>
          <w:p w:rsidR="00EA6A87" w:rsidRDefault="00EA6A87">
            <w:pPr>
              <w:pStyle w:val="EMPTYCELLSTYLE"/>
            </w:pPr>
          </w:p>
        </w:tc>
        <w:tc>
          <w:tcPr>
            <w:tcW w:w="1000" w:type="dxa"/>
          </w:tcPr>
          <w:p w:rsidR="00EA6A87" w:rsidRDefault="00EA6A87">
            <w:pPr>
              <w:pStyle w:val="EMPTYCELLSTYLE"/>
            </w:pPr>
          </w:p>
        </w:tc>
        <w:tc>
          <w:tcPr>
            <w:tcW w:w="3100" w:type="dxa"/>
            <w:gridSpan w:val="4"/>
          </w:tcPr>
          <w:p w:rsidR="00EA6A87" w:rsidRDefault="00EA6A87">
            <w:pPr>
              <w:pStyle w:val="EMPTYCELLSTYLE"/>
            </w:pPr>
          </w:p>
        </w:tc>
        <w:tc>
          <w:tcPr>
            <w:tcW w:w="20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bottom"/>
          </w:tcPr>
          <w:p w:rsidR="00EA6A87" w:rsidRDefault="00262EB3">
            <w:pPr>
              <w:spacing w:line="192" w:lineRule="auto"/>
              <w:jc w:val="left"/>
            </w:pPr>
            <w:r>
              <w:rPr>
                <w:rFonts w:ascii="宋体" w:eastAsia="宋体" w:hAnsi="宋体" w:cs="宋体"/>
                <w:color w:val="808080"/>
                <w:sz w:val="18"/>
              </w:rPr>
              <w:t>兴业银行天天万利宝稳利5号净值型理财产品S款2021年第一季度报告</w:t>
            </w: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100" w:type="dxa"/>
            <w:gridSpan w:val="3"/>
          </w:tcPr>
          <w:p w:rsidR="00EA6A87" w:rsidRDefault="00EA6A87">
            <w:pPr>
              <w:pStyle w:val="EMPTYCELLSTYLE"/>
            </w:pPr>
          </w:p>
        </w:tc>
        <w:tc>
          <w:tcPr>
            <w:tcW w:w="3300" w:type="dxa"/>
            <w:gridSpan w:val="4"/>
          </w:tcPr>
          <w:p w:rsidR="00EA6A87" w:rsidRDefault="00EA6A87">
            <w:pPr>
              <w:pStyle w:val="EMPTYCELLSTYLE"/>
            </w:pPr>
          </w:p>
        </w:tc>
        <w:tc>
          <w:tcPr>
            <w:tcW w:w="1000" w:type="dxa"/>
            <w:gridSpan w:val="2"/>
          </w:tcPr>
          <w:p w:rsidR="00EA6A87" w:rsidRDefault="00EA6A87">
            <w:pPr>
              <w:pStyle w:val="EMPTYCELLSTYLE"/>
            </w:pPr>
          </w:p>
        </w:tc>
        <w:tc>
          <w:tcPr>
            <w:tcW w:w="1000" w:type="dxa"/>
            <w:gridSpan w:val="2"/>
          </w:tcPr>
          <w:p w:rsidR="00EA6A87" w:rsidRDefault="00EA6A87">
            <w:pPr>
              <w:pStyle w:val="EMPTYCELLSTYLE"/>
            </w:pPr>
          </w:p>
        </w:tc>
        <w:tc>
          <w:tcPr>
            <w:tcW w:w="1000" w:type="dxa"/>
          </w:tcPr>
          <w:p w:rsidR="00EA6A87" w:rsidRDefault="00EA6A87">
            <w:pPr>
              <w:pStyle w:val="EMPTYCELLSTYLE"/>
            </w:pPr>
          </w:p>
        </w:tc>
        <w:tc>
          <w:tcPr>
            <w:tcW w:w="1000" w:type="dxa"/>
          </w:tcPr>
          <w:p w:rsidR="00EA6A87" w:rsidRDefault="00EA6A87">
            <w:pPr>
              <w:pStyle w:val="EMPTYCELLSTYLE"/>
            </w:pPr>
          </w:p>
        </w:tc>
        <w:tc>
          <w:tcPr>
            <w:tcW w:w="3100" w:type="dxa"/>
            <w:gridSpan w:val="4"/>
          </w:tcPr>
          <w:p w:rsidR="00EA6A87" w:rsidRDefault="00EA6A87">
            <w:pPr>
              <w:pStyle w:val="EMPTYCELLSTYLE"/>
            </w:pPr>
          </w:p>
        </w:tc>
        <w:tc>
          <w:tcPr>
            <w:tcW w:w="20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840"/>
        </w:trPr>
        <w:tc>
          <w:tcPr>
            <w:tcW w:w="1" w:type="dxa"/>
          </w:tcPr>
          <w:p w:rsidR="00EA6A87" w:rsidRDefault="00EA6A87">
            <w:pPr>
              <w:pStyle w:val="EMPTYCELLSTYLE"/>
            </w:pPr>
          </w:p>
        </w:tc>
        <w:tc>
          <w:tcPr>
            <w:tcW w:w="100" w:type="dxa"/>
            <w:gridSpan w:val="3"/>
          </w:tcPr>
          <w:p w:rsidR="00EA6A87" w:rsidRDefault="00EA6A87">
            <w:pPr>
              <w:pStyle w:val="EMPTYCELLSTYLE"/>
            </w:pPr>
          </w:p>
        </w:tc>
        <w:tc>
          <w:tcPr>
            <w:tcW w:w="3300" w:type="dxa"/>
            <w:gridSpan w:val="4"/>
          </w:tcPr>
          <w:p w:rsidR="00EA6A87" w:rsidRDefault="00EA6A87">
            <w:pPr>
              <w:pStyle w:val="EMPTYCELLSTYLE"/>
            </w:pPr>
          </w:p>
        </w:tc>
        <w:tc>
          <w:tcPr>
            <w:tcW w:w="1000" w:type="dxa"/>
            <w:gridSpan w:val="2"/>
          </w:tcPr>
          <w:p w:rsidR="00EA6A87" w:rsidRDefault="00EA6A87">
            <w:pPr>
              <w:pStyle w:val="EMPTYCELLSTYLE"/>
            </w:pPr>
          </w:p>
        </w:tc>
        <w:tc>
          <w:tcPr>
            <w:tcW w:w="1000" w:type="dxa"/>
            <w:gridSpan w:val="2"/>
          </w:tcPr>
          <w:p w:rsidR="00EA6A87" w:rsidRDefault="00EA6A87">
            <w:pPr>
              <w:pStyle w:val="EMPTYCELLSTYLE"/>
            </w:pPr>
          </w:p>
        </w:tc>
        <w:tc>
          <w:tcPr>
            <w:tcW w:w="1000" w:type="dxa"/>
          </w:tcPr>
          <w:p w:rsidR="00EA6A87" w:rsidRDefault="00EA6A87">
            <w:pPr>
              <w:pStyle w:val="EMPTYCELLSTYLE"/>
            </w:pPr>
          </w:p>
        </w:tc>
        <w:tc>
          <w:tcPr>
            <w:tcW w:w="1000" w:type="dxa"/>
          </w:tcPr>
          <w:p w:rsidR="00EA6A87" w:rsidRDefault="00EA6A87">
            <w:pPr>
              <w:pStyle w:val="EMPTYCELLSTYLE"/>
            </w:pPr>
          </w:p>
        </w:tc>
        <w:tc>
          <w:tcPr>
            <w:tcW w:w="3100" w:type="dxa"/>
            <w:gridSpan w:val="4"/>
          </w:tcPr>
          <w:p w:rsidR="00EA6A87" w:rsidRDefault="00EA6A87">
            <w:pPr>
              <w:pStyle w:val="EMPTYCELLSTYLE"/>
            </w:pPr>
          </w:p>
        </w:tc>
        <w:tc>
          <w:tcPr>
            <w:tcW w:w="20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0" w:type="dxa"/>
            <w:gridSpan w:val="3"/>
          </w:tcPr>
          <w:p w:rsidR="00EA6A87" w:rsidRDefault="00EA6A87">
            <w:pPr>
              <w:pStyle w:val="EMPTYCELLSTYLE"/>
            </w:pPr>
          </w:p>
        </w:tc>
        <w:tc>
          <w:tcPr>
            <w:tcW w:w="3300" w:type="dxa"/>
            <w:gridSpan w:val="4"/>
          </w:tcPr>
          <w:p w:rsidR="00EA6A87" w:rsidRDefault="00EA6A87">
            <w:pPr>
              <w:pStyle w:val="EMPTYCELLSTYLE"/>
            </w:pPr>
          </w:p>
        </w:tc>
        <w:tc>
          <w:tcPr>
            <w:tcW w:w="1000" w:type="dxa"/>
            <w:gridSpan w:val="2"/>
          </w:tcPr>
          <w:p w:rsidR="00EA6A87" w:rsidRDefault="00EA6A87">
            <w:pPr>
              <w:pStyle w:val="EMPTYCELLSTYLE"/>
            </w:pPr>
          </w:p>
        </w:tc>
        <w:tc>
          <w:tcPr>
            <w:tcW w:w="2000" w:type="dxa"/>
            <w:gridSpan w:val="3"/>
            <w:tcMar>
              <w:top w:w="0" w:type="dxa"/>
              <w:left w:w="0" w:type="dxa"/>
              <w:bottom w:w="0" w:type="dxa"/>
              <w:right w:w="0" w:type="dxa"/>
            </w:tcMar>
          </w:tcPr>
          <w:p w:rsidR="00EA6A87" w:rsidRDefault="00262EB3">
            <w:pPr>
              <w:jc w:val="center"/>
            </w:pPr>
            <w:r>
              <w:rPr>
                <w:rFonts w:ascii="宋体" w:eastAsia="宋体" w:hAnsi="宋体" w:cs="宋体"/>
                <w:b/>
                <w:color w:val="000000"/>
                <w:sz w:val="30"/>
              </w:rPr>
              <w:t>目  录</w:t>
            </w:r>
          </w:p>
        </w:tc>
        <w:tc>
          <w:tcPr>
            <w:tcW w:w="1000" w:type="dxa"/>
          </w:tcPr>
          <w:p w:rsidR="00EA6A87" w:rsidRDefault="00EA6A87">
            <w:pPr>
              <w:pStyle w:val="EMPTYCELLSTYLE"/>
            </w:pPr>
          </w:p>
        </w:tc>
        <w:tc>
          <w:tcPr>
            <w:tcW w:w="3100" w:type="dxa"/>
            <w:gridSpan w:val="4"/>
          </w:tcPr>
          <w:p w:rsidR="00EA6A87" w:rsidRDefault="00EA6A87">
            <w:pPr>
              <w:pStyle w:val="EMPTYCELLSTYLE"/>
            </w:pPr>
          </w:p>
        </w:tc>
        <w:tc>
          <w:tcPr>
            <w:tcW w:w="20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440"/>
        </w:trPr>
        <w:tc>
          <w:tcPr>
            <w:tcW w:w="1" w:type="dxa"/>
          </w:tcPr>
          <w:p w:rsidR="00EA6A87" w:rsidRDefault="00EA6A87">
            <w:pPr>
              <w:pStyle w:val="EMPTYCELLSTYLE"/>
            </w:pPr>
          </w:p>
        </w:tc>
        <w:tc>
          <w:tcPr>
            <w:tcW w:w="100" w:type="dxa"/>
            <w:gridSpan w:val="3"/>
          </w:tcPr>
          <w:p w:rsidR="00EA6A87" w:rsidRDefault="00EA6A87">
            <w:pPr>
              <w:pStyle w:val="EMPTYCELLSTYLE"/>
            </w:pPr>
          </w:p>
        </w:tc>
        <w:tc>
          <w:tcPr>
            <w:tcW w:w="3300" w:type="dxa"/>
            <w:gridSpan w:val="4"/>
          </w:tcPr>
          <w:p w:rsidR="00EA6A87" w:rsidRDefault="00EA6A87">
            <w:pPr>
              <w:pStyle w:val="EMPTYCELLSTYLE"/>
            </w:pPr>
          </w:p>
        </w:tc>
        <w:tc>
          <w:tcPr>
            <w:tcW w:w="1000" w:type="dxa"/>
            <w:gridSpan w:val="2"/>
          </w:tcPr>
          <w:p w:rsidR="00EA6A87" w:rsidRDefault="00EA6A87">
            <w:pPr>
              <w:pStyle w:val="EMPTYCELLSTYLE"/>
            </w:pPr>
          </w:p>
        </w:tc>
        <w:tc>
          <w:tcPr>
            <w:tcW w:w="1000" w:type="dxa"/>
            <w:gridSpan w:val="2"/>
          </w:tcPr>
          <w:p w:rsidR="00EA6A87" w:rsidRDefault="00EA6A87">
            <w:pPr>
              <w:pStyle w:val="EMPTYCELLSTYLE"/>
            </w:pPr>
          </w:p>
        </w:tc>
        <w:tc>
          <w:tcPr>
            <w:tcW w:w="1000" w:type="dxa"/>
          </w:tcPr>
          <w:p w:rsidR="00EA6A87" w:rsidRDefault="00EA6A87">
            <w:pPr>
              <w:pStyle w:val="EMPTYCELLSTYLE"/>
            </w:pPr>
          </w:p>
        </w:tc>
        <w:tc>
          <w:tcPr>
            <w:tcW w:w="1000" w:type="dxa"/>
          </w:tcPr>
          <w:p w:rsidR="00EA6A87" w:rsidRDefault="00EA6A87">
            <w:pPr>
              <w:pStyle w:val="EMPTYCELLSTYLE"/>
            </w:pPr>
          </w:p>
        </w:tc>
        <w:tc>
          <w:tcPr>
            <w:tcW w:w="3100" w:type="dxa"/>
            <w:gridSpan w:val="4"/>
          </w:tcPr>
          <w:p w:rsidR="00EA6A87" w:rsidRDefault="00EA6A87">
            <w:pPr>
              <w:pStyle w:val="EMPTYCELLSTYLE"/>
            </w:pPr>
          </w:p>
        </w:tc>
        <w:tc>
          <w:tcPr>
            <w:tcW w:w="20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840"/>
        </w:trPr>
        <w:tc>
          <w:tcPr>
            <w:tcW w:w="1" w:type="dxa"/>
          </w:tcPr>
          <w:p w:rsidR="00EA6A87" w:rsidRDefault="00EA6A87">
            <w:pPr>
              <w:pStyle w:val="EMPTYCELLSTYLE"/>
            </w:pPr>
          </w:p>
        </w:tc>
        <w:tc>
          <w:tcPr>
            <w:tcW w:w="100" w:type="dxa"/>
            <w:gridSpan w:val="3"/>
          </w:tcPr>
          <w:p w:rsidR="00EA6A87" w:rsidRDefault="00EA6A87">
            <w:pPr>
              <w:pStyle w:val="EMPTYCELLSTYLE"/>
            </w:pPr>
          </w:p>
        </w:tc>
        <w:tc>
          <w:tcPr>
            <w:tcW w:w="10400" w:type="dxa"/>
            <w:gridSpan w:val="14"/>
            <w:tcMar>
              <w:top w:w="0" w:type="dxa"/>
              <w:left w:w="0" w:type="dxa"/>
              <w:bottom w:w="0" w:type="dxa"/>
              <w:right w:w="0" w:type="dxa"/>
            </w:tcMar>
          </w:tcPr>
          <w:p w:rsidR="00EA6A87" w:rsidRDefault="00262EB3">
            <w:pPr>
              <w:spacing w:line="336" w:lineRule="auto"/>
              <w:jc w:val="left"/>
            </w:pPr>
            <w:r>
              <w:rPr>
                <w:rFonts w:ascii="宋体" w:eastAsia="宋体" w:hAnsi="宋体" w:cs="宋体"/>
                <w:color w:val="000000"/>
                <w:sz w:val="21"/>
              </w:rPr>
              <w:t>§ 一. 重要提示</w:t>
            </w:r>
            <w:r>
              <w:rPr>
                <w:rFonts w:ascii="宋体" w:eastAsia="宋体" w:hAnsi="宋体" w:cs="宋体"/>
                <w:color w:val="000000"/>
                <w:sz w:val="21"/>
              </w:rPr>
              <w:br/>
              <w:t>§ 二. 产品基本信息</w:t>
            </w:r>
            <w:r>
              <w:rPr>
                <w:rFonts w:ascii="宋体" w:eastAsia="宋体" w:hAnsi="宋体" w:cs="宋体"/>
                <w:color w:val="000000"/>
                <w:sz w:val="21"/>
              </w:rPr>
              <w:br/>
              <w:t>§ 三. 产品收益表现</w:t>
            </w:r>
            <w:r>
              <w:rPr>
                <w:rFonts w:ascii="宋体" w:eastAsia="宋体" w:hAnsi="宋体" w:cs="宋体"/>
                <w:color w:val="000000"/>
                <w:sz w:val="21"/>
              </w:rPr>
              <w:br/>
              <w:t>§ 四. 产品投资经理简介</w:t>
            </w:r>
            <w:r>
              <w:rPr>
                <w:rFonts w:ascii="宋体" w:eastAsia="宋体" w:hAnsi="宋体" w:cs="宋体"/>
                <w:color w:val="000000"/>
                <w:sz w:val="21"/>
              </w:rPr>
              <w:br/>
              <w:t>§ 五. 报告期内产品投资策略</w:t>
            </w:r>
            <w:r>
              <w:rPr>
                <w:rFonts w:ascii="宋体" w:eastAsia="宋体" w:hAnsi="宋体" w:cs="宋体"/>
                <w:color w:val="000000"/>
                <w:sz w:val="21"/>
              </w:rPr>
              <w:br/>
              <w:t>§ 六. 投资组合情况</w:t>
            </w:r>
            <w:r>
              <w:rPr>
                <w:rFonts w:ascii="宋体" w:eastAsia="宋体" w:hAnsi="宋体" w:cs="宋体"/>
                <w:color w:val="000000"/>
                <w:sz w:val="21"/>
              </w:rPr>
              <w:br/>
              <w:t xml:space="preserve">     1. 报告期末资产组合情况</w:t>
            </w:r>
            <w:r>
              <w:rPr>
                <w:rFonts w:ascii="宋体" w:eastAsia="宋体" w:hAnsi="宋体" w:cs="宋体"/>
                <w:color w:val="000000"/>
                <w:sz w:val="21"/>
              </w:rPr>
              <w:br/>
              <w:t xml:space="preserve">     2. 报告期末杠杆融资情况</w:t>
            </w:r>
            <w:r>
              <w:rPr>
                <w:rFonts w:ascii="宋体" w:eastAsia="宋体" w:hAnsi="宋体" w:cs="宋体"/>
                <w:color w:val="000000"/>
                <w:sz w:val="21"/>
              </w:rPr>
              <w:br/>
              <w:t xml:space="preserve">     3. 投资组合的流动性风险分析</w:t>
            </w:r>
            <w:r>
              <w:rPr>
                <w:rFonts w:ascii="宋体" w:eastAsia="宋体" w:hAnsi="宋体" w:cs="宋体"/>
                <w:color w:val="000000"/>
                <w:sz w:val="21"/>
              </w:rPr>
              <w:br/>
              <w:t xml:space="preserve">     4. 报告期末资产持仓前十基本信息</w:t>
            </w:r>
            <w:r>
              <w:rPr>
                <w:rFonts w:ascii="宋体" w:eastAsia="宋体" w:hAnsi="宋体" w:cs="宋体"/>
                <w:color w:val="000000"/>
                <w:sz w:val="21"/>
              </w:rPr>
              <w:br/>
              <w:t xml:space="preserve">     5. 报告期间关联交易情况</w:t>
            </w:r>
            <w:r>
              <w:rPr>
                <w:rFonts w:ascii="宋体" w:eastAsia="宋体" w:hAnsi="宋体" w:cs="宋体"/>
                <w:color w:val="000000"/>
                <w:sz w:val="21"/>
              </w:rPr>
              <w:br/>
              <w:t xml:space="preserve">     6. 投资账户信息</w:t>
            </w:r>
          </w:p>
        </w:tc>
        <w:tc>
          <w:tcPr>
            <w:tcW w:w="20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6080"/>
        </w:trPr>
        <w:tc>
          <w:tcPr>
            <w:tcW w:w="1" w:type="dxa"/>
          </w:tcPr>
          <w:p w:rsidR="00EA6A87" w:rsidRDefault="00EA6A87">
            <w:pPr>
              <w:pStyle w:val="EMPTYCELLSTYLE"/>
            </w:pPr>
          </w:p>
        </w:tc>
        <w:tc>
          <w:tcPr>
            <w:tcW w:w="100" w:type="dxa"/>
            <w:gridSpan w:val="3"/>
          </w:tcPr>
          <w:p w:rsidR="00EA6A87" w:rsidRDefault="00EA6A87">
            <w:pPr>
              <w:pStyle w:val="EMPTYCELLSTYLE"/>
            </w:pPr>
          </w:p>
        </w:tc>
        <w:tc>
          <w:tcPr>
            <w:tcW w:w="3300" w:type="dxa"/>
            <w:gridSpan w:val="4"/>
          </w:tcPr>
          <w:p w:rsidR="00EA6A87" w:rsidRDefault="00EA6A87">
            <w:pPr>
              <w:pStyle w:val="EMPTYCELLSTYLE"/>
            </w:pPr>
          </w:p>
        </w:tc>
        <w:tc>
          <w:tcPr>
            <w:tcW w:w="1000" w:type="dxa"/>
            <w:gridSpan w:val="2"/>
          </w:tcPr>
          <w:p w:rsidR="00EA6A87" w:rsidRDefault="00EA6A87">
            <w:pPr>
              <w:pStyle w:val="EMPTYCELLSTYLE"/>
            </w:pPr>
          </w:p>
        </w:tc>
        <w:tc>
          <w:tcPr>
            <w:tcW w:w="1000" w:type="dxa"/>
            <w:gridSpan w:val="2"/>
          </w:tcPr>
          <w:p w:rsidR="00EA6A87" w:rsidRDefault="00EA6A87">
            <w:pPr>
              <w:pStyle w:val="EMPTYCELLSTYLE"/>
            </w:pPr>
          </w:p>
        </w:tc>
        <w:tc>
          <w:tcPr>
            <w:tcW w:w="1000" w:type="dxa"/>
          </w:tcPr>
          <w:p w:rsidR="00EA6A87" w:rsidRDefault="00EA6A87">
            <w:pPr>
              <w:pStyle w:val="EMPTYCELLSTYLE"/>
            </w:pPr>
          </w:p>
        </w:tc>
        <w:tc>
          <w:tcPr>
            <w:tcW w:w="1000" w:type="dxa"/>
          </w:tcPr>
          <w:p w:rsidR="00EA6A87" w:rsidRDefault="00EA6A87">
            <w:pPr>
              <w:pStyle w:val="EMPTYCELLSTYLE"/>
            </w:pPr>
          </w:p>
        </w:tc>
        <w:tc>
          <w:tcPr>
            <w:tcW w:w="3100" w:type="dxa"/>
            <w:gridSpan w:val="4"/>
          </w:tcPr>
          <w:p w:rsidR="00EA6A87" w:rsidRDefault="00EA6A87">
            <w:pPr>
              <w:pStyle w:val="EMPTYCELLSTYLE"/>
            </w:pPr>
          </w:p>
        </w:tc>
        <w:tc>
          <w:tcPr>
            <w:tcW w:w="20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100" w:type="dxa"/>
            <w:gridSpan w:val="3"/>
          </w:tcPr>
          <w:p w:rsidR="00EA6A87" w:rsidRDefault="00EA6A87">
            <w:pPr>
              <w:pStyle w:val="EMPTYCELLSTYLE"/>
            </w:pPr>
          </w:p>
        </w:tc>
        <w:tc>
          <w:tcPr>
            <w:tcW w:w="3300" w:type="dxa"/>
            <w:gridSpan w:val="4"/>
          </w:tcPr>
          <w:p w:rsidR="00EA6A87" w:rsidRDefault="00EA6A87">
            <w:pPr>
              <w:pStyle w:val="EMPTYCELLSTYLE"/>
            </w:pPr>
          </w:p>
        </w:tc>
        <w:tc>
          <w:tcPr>
            <w:tcW w:w="2000" w:type="dxa"/>
            <w:gridSpan w:val="4"/>
            <w:tcMar>
              <w:top w:w="0" w:type="dxa"/>
              <w:left w:w="0" w:type="dxa"/>
              <w:bottom w:w="0" w:type="dxa"/>
              <w:right w:w="0" w:type="dxa"/>
            </w:tcMar>
          </w:tcPr>
          <w:p w:rsidR="00EA6A87" w:rsidRDefault="00262EB3">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EA6A87" w:rsidRDefault="00262EB3">
            <w:pPr>
              <w:jc w:val="left"/>
            </w:pPr>
            <w:r>
              <w:rPr>
                <w:rFonts w:ascii="SansSerif" w:eastAsia="SansSerif" w:hAnsi="SansSerif" w:cs="SansSerif"/>
                <w:color w:val="000000"/>
                <w:sz w:val="18"/>
              </w:rPr>
              <w:t>8</w:t>
            </w:r>
          </w:p>
        </w:tc>
        <w:tc>
          <w:tcPr>
            <w:tcW w:w="3100" w:type="dxa"/>
            <w:gridSpan w:val="4"/>
          </w:tcPr>
          <w:p w:rsidR="00EA6A87" w:rsidRDefault="00EA6A87">
            <w:pPr>
              <w:pStyle w:val="EMPTYCELLSTYLE"/>
            </w:pPr>
          </w:p>
        </w:tc>
        <w:tc>
          <w:tcPr>
            <w:tcW w:w="20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Pr>
        <w:tc>
          <w:tcPr>
            <w:tcW w:w="1" w:type="dxa"/>
          </w:tcPr>
          <w:p w:rsidR="00EA6A87" w:rsidRDefault="00EA6A87">
            <w:pPr>
              <w:pStyle w:val="EMPTYCELLSTYLE"/>
              <w:pageBreakBefore/>
            </w:pPr>
            <w:bookmarkStart w:id="2" w:name="JR_PAGE_ANCHOR_0_3"/>
            <w:bookmarkEnd w:id="2"/>
          </w:p>
        </w:tc>
        <w:tc>
          <w:tcPr>
            <w:tcW w:w="3400" w:type="dxa"/>
            <w:gridSpan w:val="7"/>
          </w:tcPr>
          <w:p w:rsidR="00EA6A87" w:rsidRDefault="00EA6A87">
            <w:pPr>
              <w:pStyle w:val="EMPTYCELLSTYLE"/>
            </w:pPr>
          </w:p>
        </w:tc>
        <w:tc>
          <w:tcPr>
            <w:tcW w:w="740" w:type="dxa"/>
          </w:tcPr>
          <w:p w:rsidR="00EA6A87" w:rsidRDefault="00EA6A87">
            <w:pPr>
              <w:pStyle w:val="EMPTYCELLSTYLE"/>
            </w:pPr>
          </w:p>
        </w:tc>
        <w:tc>
          <w:tcPr>
            <w:tcW w:w="1260" w:type="dxa"/>
            <w:gridSpan w:val="3"/>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bottom"/>
          </w:tcPr>
          <w:p w:rsidR="00EA6A87" w:rsidRDefault="00262EB3">
            <w:pPr>
              <w:spacing w:line="192" w:lineRule="auto"/>
              <w:jc w:val="left"/>
            </w:pPr>
            <w:r>
              <w:rPr>
                <w:rFonts w:ascii="宋体" w:eastAsia="宋体" w:hAnsi="宋体" w:cs="宋体"/>
                <w:color w:val="808080"/>
                <w:sz w:val="18"/>
              </w:rPr>
              <w:t>兴业银行天天万利宝稳利5号净值型理财产品S款2021年第一季度报告</w:t>
            </w: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740" w:type="dxa"/>
          </w:tcPr>
          <w:p w:rsidR="00EA6A87" w:rsidRDefault="00EA6A87">
            <w:pPr>
              <w:pStyle w:val="EMPTYCELLSTYLE"/>
            </w:pPr>
          </w:p>
        </w:tc>
        <w:tc>
          <w:tcPr>
            <w:tcW w:w="1260" w:type="dxa"/>
            <w:gridSpan w:val="3"/>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60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740" w:type="dxa"/>
          </w:tcPr>
          <w:p w:rsidR="00EA6A87" w:rsidRDefault="00EA6A87">
            <w:pPr>
              <w:pStyle w:val="EMPTYCELLSTYLE"/>
            </w:pPr>
          </w:p>
        </w:tc>
        <w:tc>
          <w:tcPr>
            <w:tcW w:w="1260" w:type="dxa"/>
            <w:gridSpan w:val="3"/>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4"/>
              </w:rPr>
              <w:t>§ 一. 重要提示</w:t>
            </w:r>
          </w:p>
        </w:tc>
        <w:tc>
          <w:tcPr>
            <w:tcW w:w="1" w:type="dxa"/>
          </w:tcPr>
          <w:p w:rsidR="00EA6A87" w:rsidRDefault="00EA6A87">
            <w:pPr>
              <w:pStyle w:val="EMPTYCELLSTYLE"/>
            </w:pPr>
          </w:p>
        </w:tc>
      </w:tr>
      <w:tr w:rsidR="00EA6A87">
        <w:trPr>
          <w:gridAfter w:val="4"/>
          <w:wAfter w:w="40" w:type="dxa"/>
          <w:trHeight w:hRule="exact" w:val="20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740" w:type="dxa"/>
          </w:tcPr>
          <w:p w:rsidR="00EA6A87" w:rsidRDefault="00EA6A87">
            <w:pPr>
              <w:pStyle w:val="EMPTYCELLSTYLE"/>
            </w:pPr>
          </w:p>
        </w:tc>
        <w:tc>
          <w:tcPr>
            <w:tcW w:w="1260" w:type="dxa"/>
            <w:gridSpan w:val="3"/>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3080"/>
        </w:trPr>
        <w:tc>
          <w:tcPr>
            <w:tcW w:w="1" w:type="dxa"/>
          </w:tcPr>
          <w:p w:rsidR="00EA6A87" w:rsidRDefault="00EA6A87">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EA6A87" w:rsidRDefault="00262EB3">
            <w:pPr>
              <w:spacing w:line="360" w:lineRule="auto"/>
              <w:jc w:val="left"/>
            </w:pPr>
            <w:r>
              <w:rPr>
                <w:rFonts w:ascii="仿宋" w:eastAsia="仿宋" w:hAnsi="仿宋" w:cs="仿宋"/>
                <w:color w:val="000000"/>
                <w:sz w:val="21"/>
              </w:rPr>
              <w:br/>
              <w:t xml:space="preserve"> 1. 温馨提醒：理财非存款，产品有风险，投资需谨慎！</w:t>
            </w:r>
            <w:r>
              <w:rPr>
                <w:rFonts w:ascii="仿宋" w:eastAsia="仿宋" w:hAnsi="仿宋" w:cs="仿宋"/>
                <w:color w:val="000000"/>
                <w:sz w:val="21"/>
              </w:rPr>
              <w:br/>
              <w:t xml:space="preserve"> 2. 理财信息可供参考，详情请咨询理财经理，或在“中国理财网（www.chinawealth.com.cn）”查询该产品相关信息。</w:t>
            </w:r>
            <w:r>
              <w:rPr>
                <w:rFonts w:ascii="仿宋" w:eastAsia="仿宋" w:hAnsi="仿宋" w:cs="仿宋"/>
                <w:color w:val="000000"/>
                <w:sz w:val="21"/>
              </w:rPr>
              <w:br/>
              <w:t xml:space="preserve"> 3. 兴业银行股份有限公司保留对所有文字说明的最终解释权。</w:t>
            </w:r>
            <w:r>
              <w:rPr>
                <w:rFonts w:ascii="仿宋" w:eastAsia="仿宋" w:hAnsi="仿宋" w:cs="仿宋"/>
                <w:color w:val="000000"/>
                <w:sz w:val="21"/>
              </w:rPr>
              <w:br/>
              <w:t xml:space="preserve"> 4. 投资组合情况（期末资产组合情况、杠杆比例、资产前十持仓等）详情请理财持有人登录网银后进行查询。</w:t>
            </w:r>
            <w:r>
              <w:rPr>
                <w:rFonts w:ascii="仿宋" w:eastAsia="仿宋" w:hAnsi="仿宋" w:cs="仿宋"/>
                <w:color w:val="000000"/>
                <w:sz w:val="21"/>
              </w:rPr>
              <w:br/>
            </w:r>
          </w:p>
        </w:tc>
        <w:tc>
          <w:tcPr>
            <w:tcW w:w="1" w:type="dxa"/>
          </w:tcPr>
          <w:p w:rsidR="00EA6A87" w:rsidRDefault="00EA6A87">
            <w:pPr>
              <w:pStyle w:val="EMPTYCELLSTYLE"/>
            </w:pPr>
          </w:p>
        </w:tc>
      </w:tr>
      <w:tr w:rsidR="00EA6A87">
        <w:trPr>
          <w:gridAfter w:val="4"/>
          <w:wAfter w:w="40" w:type="dxa"/>
          <w:trHeight w:hRule="exact" w:val="60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740" w:type="dxa"/>
          </w:tcPr>
          <w:p w:rsidR="00EA6A87" w:rsidRDefault="00EA6A87">
            <w:pPr>
              <w:pStyle w:val="EMPTYCELLSTYLE"/>
            </w:pPr>
          </w:p>
        </w:tc>
        <w:tc>
          <w:tcPr>
            <w:tcW w:w="1260" w:type="dxa"/>
            <w:gridSpan w:val="3"/>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4"/>
              </w:rPr>
              <w:t>§ 二. 产品基本情况</w:t>
            </w:r>
          </w:p>
        </w:tc>
        <w:tc>
          <w:tcPr>
            <w:tcW w:w="1" w:type="dxa"/>
          </w:tcPr>
          <w:p w:rsidR="00EA6A87" w:rsidRDefault="00EA6A87">
            <w:pPr>
              <w:pStyle w:val="EMPTYCELLSTYLE"/>
            </w:pPr>
          </w:p>
        </w:tc>
      </w:tr>
      <w:tr w:rsidR="00EA6A87">
        <w:trPr>
          <w:gridAfter w:val="4"/>
          <w:wAfter w:w="40" w:type="dxa"/>
          <w:trHeight w:hRule="exact" w:val="20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740" w:type="dxa"/>
          </w:tcPr>
          <w:p w:rsidR="00EA6A87" w:rsidRDefault="00EA6A87">
            <w:pPr>
              <w:pStyle w:val="EMPTYCELLSTYLE"/>
            </w:pPr>
          </w:p>
        </w:tc>
        <w:tc>
          <w:tcPr>
            <w:tcW w:w="1260" w:type="dxa"/>
            <w:gridSpan w:val="3"/>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兴业银行天天万利宝稳利5号净值型理财产品S款</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9K219061</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C1030919001056</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开放式</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公募</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26,172,513,637.02份</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无</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人民币</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R3</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兴业银行股份有限公司</w:t>
            </w:r>
          </w:p>
        </w:tc>
        <w:tc>
          <w:tcPr>
            <w:tcW w:w="1" w:type="dxa"/>
          </w:tcPr>
          <w:p w:rsidR="00EA6A87" w:rsidRDefault="00EA6A87">
            <w:pPr>
              <w:pStyle w:val="EMPTYCELLSTYLE"/>
            </w:pPr>
          </w:p>
        </w:tc>
      </w:tr>
      <w:tr w:rsidR="00EA6A87">
        <w:trPr>
          <w:gridAfter w:val="4"/>
          <w:wAfter w:w="40" w:type="dxa"/>
          <w:trHeight w:val="500"/>
        </w:trPr>
        <w:tc>
          <w:tcPr>
            <w:tcW w:w="1" w:type="dxa"/>
          </w:tcPr>
          <w:p w:rsidR="00EA6A87" w:rsidRDefault="00EA6A8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A6A87" w:rsidRDefault="00262EB3">
            <w:pPr>
              <w:ind w:firstLine="200"/>
            </w:pPr>
            <w:r>
              <w:rPr>
                <w:rFonts w:ascii="宋体" w:eastAsia="宋体" w:hAnsi="宋体" w:cs="宋体"/>
                <w:color w:val="000000"/>
                <w:sz w:val="21"/>
              </w:rPr>
              <w:t>兴业银行股份有限公司</w:t>
            </w:r>
          </w:p>
        </w:tc>
        <w:tc>
          <w:tcPr>
            <w:tcW w:w="1" w:type="dxa"/>
          </w:tcPr>
          <w:p w:rsidR="00EA6A87" w:rsidRDefault="00EA6A87">
            <w:pPr>
              <w:pStyle w:val="EMPTYCELLSTYLE"/>
            </w:pPr>
          </w:p>
        </w:tc>
      </w:tr>
      <w:tr w:rsidR="00EA6A87">
        <w:trPr>
          <w:gridAfter w:val="4"/>
          <w:wAfter w:w="40" w:type="dxa"/>
          <w:trHeight w:hRule="exact" w:val="342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740" w:type="dxa"/>
          </w:tcPr>
          <w:p w:rsidR="00EA6A87" w:rsidRDefault="00EA6A87">
            <w:pPr>
              <w:pStyle w:val="EMPTYCELLSTYLE"/>
            </w:pPr>
          </w:p>
        </w:tc>
        <w:tc>
          <w:tcPr>
            <w:tcW w:w="1260" w:type="dxa"/>
            <w:gridSpan w:val="3"/>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2000" w:type="dxa"/>
            <w:gridSpan w:val="4"/>
            <w:tcMar>
              <w:top w:w="0" w:type="dxa"/>
              <w:left w:w="0" w:type="dxa"/>
              <w:bottom w:w="0" w:type="dxa"/>
              <w:right w:w="0" w:type="dxa"/>
            </w:tcMar>
          </w:tcPr>
          <w:p w:rsidR="00EA6A87" w:rsidRDefault="00262EB3">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EA6A87" w:rsidRDefault="00262EB3">
            <w:pPr>
              <w:jc w:val="left"/>
            </w:pPr>
            <w:r>
              <w:rPr>
                <w:rFonts w:ascii="SansSerif" w:eastAsia="SansSerif" w:hAnsi="SansSerif" w:cs="SansSerif"/>
                <w:color w:val="000000"/>
                <w:sz w:val="18"/>
              </w:rPr>
              <w:t>8</w:t>
            </w: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Pr>
        <w:tc>
          <w:tcPr>
            <w:tcW w:w="1" w:type="dxa"/>
          </w:tcPr>
          <w:p w:rsidR="00EA6A87" w:rsidRDefault="00EA6A87">
            <w:pPr>
              <w:pStyle w:val="EMPTYCELLSTYLE"/>
              <w:pageBreakBefore/>
            </w:pPr>
            <w:bookmarkStart w:id="3" w:name="JR_PAGE_ANCHOR_0_4"/>
            <w:bookmarkEnd w:id="3"/>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bottom"/>
          </w:tcPr>
          <w:p w:rsidR="00EA6A87" w:rsidRDefault="00262EB3">
            <w:pPr>
              <w:spacing w:line="192" w:lineRule="auto"/>
              <w:jc w:val="left"/>
            </w:pPr>
            <w:r>
              <w:rPr>
                <w:rFonts w:ascii="宋体" w:eastAsia="宋体" w:hAnsi="宋体" w:cs="宋体"/>
                <w:color w:val="808080"/>
                <w:sz w:val="18"/>
              </w:rPr>
              <w:t>兴业银行天天万利宝稳利5号净值型理财产品S款2021年第一季度报告</w:t>
            </w: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40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4"/>
              </w:rPr>
              <w:t>§ 三. 产品收益表现</w:t>
            </w:r>
          </w:p>
        </w:tc>
        <w:tc>
          <w:tcPr>
            <w:tcW w:w="1" w:type="dxa"/>
          </w:tcPr>
          <w:p w:rsidR="00EA6A87" w:rsidRDefault="00EA6A87">
            <w:pPr>
              <w:pStyle w:val="EMPTYCELLSTYLE"/>
            </w:pPr>
          </w:p>
        </w:tc>
      </w:tr>
      <w:tr w:rsidR="00EA6A87">
        <w:trPr>
          <w:gridAfter w:val="4"/>
          <w:wAfter w:w="40" w:type="dxa"/>
          <w:trHeight w:hRule="exact" w:val="40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200" w:type="dxa"/>
            <w:gridSpan w:val="16"/>
            <w:tcMar>
              <w:top w:w="0" w:type="dxa"/>
              <w:left w:w="0" w:type="dxa"/>
              <w:bottom w:w="0" w:type="dxa"/>
              <w:right w:w="0" w:type="dxa"/>
            </w:tcMar>
            <w:vAlign w:val="center"/>
          </w:tcPr>
          <w:p w:rsidR="00EA6A87" w:rsidRDefault="00262EB3">
            <w:pPr>
              <w:spacing w:line="320" w:lineRule="exact"/>
              <w:jc w:val="left"/>
            </w:pPr>
            <w:r>
              <w:rPr>
                <w:rFonts w:ascii="宋体" w:eastAsia="宋体" w:hAnsi="宋体" w:cs="宋体"/>
                <w:color w:val="000000"/>
                <w:sz w:val="21"/>
              </w:rPr>
              <w:t>产品9K219061自起息日以来，累计净值增长率为9.9750%，年化累计净值增长率为7.0423%。</w:t>
            </w:r>
            <w:r>
              <w:rPr>
                <w:rFonts w:ascii="宋体" w:eastAsia="宋体" w:hAnsi="宋体" w:cs="宋体"/>
                <w:color w:val="000000"/>
                <w:sz w:val="21"/>
              </w:rPr>
              <w:br/>
              <w:t>报告期末，产品净值表现具体如下：</w:t>
            </w: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20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 xml:space="preserve">产品累计净值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产品资产净值</w:t>
            </w: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2021年3月31日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1.09975</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1.09975</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28,783,278,129.74</w:t>
            </w: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40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4"/>
              </w:rPr>
              <w:t>§ 四. 产品投资经理简介</w:t>
            </w:r>
          </w:p>
        </w:tc>
        <w:tc>
          <w:tcPr>
            <w:tcW w:w="1" w:type="dxa"/>
          </w:tcPr>
          <w:p w:rsidR="00EA6A87" w:rsidRDefault="00EA6A87">
            <w:pPr>
              <w:pStyle w:val="EMPTYCELLSTYLE"/>
            </w:pPr>
          </w:p>
        </w:tc>
      </w:tr>
      <w:tr w:rsidR="00EA6A87">
        <w:trPr>
          <w:gridAfter w:val="4"/>
          <w:wAfter w:w="40" w:type="dxa"/>
          <w:trHeight w:hRule="exact" w:val="42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2580"/>
        </w:trPr>
        <w:tc>
          <w:tcPr>
            <w:tcW w:w="1" w:type="dxa"/>
          </w:tcPr>
          <w:p w:rsidR="00EA6A87" w:rsidRDefault="00EA6A87">
            <w:pPr>
              <w:pStyle w:val="EMPTYCELLSTYLE"/>
            </w:pPr>
          </w:p>
        </w:tc>
        <w:tc>
          <w:tcPr>
            <w:tcW w:w="10700" w:type="dxa"/>
            <w:gridSpan w:val="19"/>
            <w:tcMar>
              <w:top w:w="0" w:type="dxa"/>
              <w:left w:w="0" w:type="dxa"/>
              <w:bottom w:w="0" w:type="dxa"/>
              <w:right w:w="0" w:type="dxa"/>
            </w:tcMar>
          </w:tcPr>
          <w:p w:rsidR="00EA6A87" w:rsidRDefault="00262EB3">
            <w:pPr>
              <w:spacing w:line="320" w:lineRule="exact"/>
              <w:jc w:val="left"/>
            </w:pPr>
            <w:r>
              <w:rPr>
                <w:rFonts w:ascii="宋体" w:eastAsia="宋体" w:hAnsi="宋体" w:cs="宋体"/>
                <w:color w:val="000000"/>
                <w:sz w:val="21"/>
              </w:rPr>
              <w:t xml:space="preserve">    徐佳女士，南开大学金融学硕士，北京师范大学经济学和英语双学士，拥有11年金融领域投资交易经验，具有银行间本币交易员资格。历任嘉实基金管理有限公司交易员，于2014年加入兴业银行资产管理部，任兴业银行资产管理部债券投资经理，主要负责债券投资以及固收产品投资管理工作；具有丰富的产品投资管理经验，并积累了丰富的债券投资和交易经验；目前管理逾十只净值型“稳利”系列产品，业绩优异，风格稳健。对宏观和利率走势有专业深入的研判，擅长根据负债属性制定多资产配置策略，并根据市场研判灵活运用多种投资策略。</w:t>
            </w:r>
            <w:r>
              <w:rPr>
                <w:rFonts w:ascii="宋体" w:eastAsia="宋体" w:hAnsi="宋体" w:cs="宋体"/>
                <w:color w:val="000000"/>
                <w:sz w:val="21"/>
              </w:rPr>
              <w:br/>
              <w:t xml:space="preserve">    董国明先生，中国科学院研究生院理学硕士，2013年加入兴业银行，金融从业12年，曾在光大银行等机构任投资经理，现任资产管理事业部权益投资团队主管。</w:t>
            </w:r>
          </w:p>
        </w:tc>
        <w:tc>
          <w:tcPr>
            <w:tcW w:w="1" w:type="dxa"/>
          </w:tcPr>
          <w:p w:rsidR="00EA6A87" w:rsidRDefault="00EA6A87">
            <w:pPr>
              <w:pStyle w:val="EMPTYCELLSTYLE"/>
            </w:pPr>
          </w:p>
        </w:tc>
      </w:tr>
      <w:tr w:rsidR="00EA6A87">
        <w:trPr>
          <w:gridAfter w:val="4"/>
          <w:wAfter w:w="40" w:type="dxa"/>
          <w:trHeight w:hRule="exact" w:val="72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4"/>
              </w:rPr>
              <w:t>§ 五. 报告期内产品的投资策略和运作分析</w:t>
            </w:r>
          </w:p>
        </w:tc>
        <w:tc>
          <w:tcPr>
            <w:tcW w:w="1" w:type="dxa"/>
          </w:tcPr>
          <w:p w:rsidR="00EA6A87" w:rsidRDefault="00EA6A87">
            <w:pPr>
              <w:pStyle w:val="EMPTYCELLSTYLE"/>
            </w:pPr>
          </w:p>
        </w:tc>
      </w:tr>
      <w:tr w:rsidR="00EA6A87">
        <w:trPr>
          <w:gridAfter w:val="4"/>
          <w:wAfter w:w="40" w:type="dxa"/>
          <w:trHeight w:hRule="exact" w:val="42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1700" w:type="dxa"/>
            <w:gridSpan w:val="3"/>
          </w:tcPr>
          <w:p w:rsidR="00EA6A87" w:rsidRDefault="00EA6A87">
            <w:pPr>
              <w:pStyle w:val="EMPTYCELLSTYLE"/>
            </w:pPr>
          </w:p>
        </w:tc>
        <w:tc>
          <w:tcPr>
            <w:tcW w:w="300" w:type="dxa"/>
          </w:tcPr>
          <w:p w:rsidR="00EA6A87" w:rsidRDefault="00EA6A87">
            <w:pPr>
              <w:pStyle w:val="EMPTYCELLSTYLE"/>
            </w:pPr>
          </w:p>
        </w:tc>
        <w:tc>
          <w:tcPr>
            <w:tcW w:w="2000" w:type="dxa"/>
            <w:gridSpan w:val="2"/>
          </w:tcPr>
          <w:p w:rsidR="00EA6A87" w:rsidRDefault="00EA6A87">
            <w:pPr>
              <w:pStyle w:val="EMPTYCELLSTYLE"/>
            </w:pP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5660"/>
        </w:trPr>
        <w:tc>
          <w:tcPr>
            <w:tcW w:w="1" w:type="dxa"/>
          </w:tcPr>
          <w:p w:rsidR="00EA6A87" w:rsidRDefault="00EA6A87">
            <w:pPr>
              <w:pStyle w:val="EMPTYCELLSTYLE"/>
            </w:pPr>
          </w:p>
        </w:tc>
        <w:tc>
          <w:tcPr>
            <w:tcW w:w="10700" w:type="dxa"/>
            <w:gridSpan w:val="19"/>
            <w:tcMar>
              <w:top w:w="0" w:type="dxa"/>
              <w:left w:w="0" w:type="dxa"/>
              <w:bottom w:w="0" w:type="dxa"/>
              <w:right w:w="0" w:type="dxa"/>
            </w:tcMar>
          </w:tcPr>
          <w:p w:rsidR="00EA6A87" w:rsidRDefault="00262EB3">
            <w:pPr>
              <w:spacing w:line="320" w:lineRule="exact"/>
              <w:jc w:val="left"/>
            </w:pPr>
            <w:r>
              <w:rPr>
                <w:rFonts w:ascii="宋体" w:eastAsia="宋体" w:hAnsi="宋体" w:cs="宋体"/>
                <w:color w:val="000000"/>
                <w:sz w:val="21"/>
              </w:rPr>
              <w:t xml:space="preserve">    一、市场观点</w:t>
            </w:r>
            <w:r>
              <w:rPr>
                <w:rFonts w:ascii="宋体" w:eastAsia="宋体" w:hAnsi="宋体" w:cs="宋体"/>
                <w:color w:val="000000"/>
                <w:sz w:val="21"/>
              </w:rPr>
              <w:br/>
              <w:t xml:space="preserve">    2021年一季度，债券市场大致可以分为3个阶段：1、永煤冲击下，宽松小周期意外开启，熊市主流认知被打破，债市跨年行情超预期；2、春节前央行提前收紧，“小钱荒”让市场预期从一个极端（松）走向另一个极端（紧）；3、节后海外再通胀交易升温+美债上行超预期，纠结心态下债市却不跌反涨，对利空钝化。3月份在诸多担忧之中，利率走出了一波下行行情，虽然节奏缓慢而纠结。市场之所以“看空做多”，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权益方面，一季度市场出现大幅波动，春节前以核心资产为代表的股票大幅上涨，指数创出新高。春节后出现大幅回撤，其中核心资产跌幅相较其余股票更大，整个季度看市场小幅下跌。春节期间大幅下跌。虽然催化剂是美债收益率从1%到1.7%的大幅上行，但是背后本质原因仍然是在高估值的大背景下，核心资产需要通过大幅波动来消化估值。</w:t>
            </w:r>
            <w:r>
              <w:rPr>
                <w:rFonts w:ascii="宋体" w:eastAsia="宋体" w:hAnsi="宋体" w:cs="宋体"/>
                <w:color w:val="000000"/>
                <w:sz w:val="21"/>
              </w:rPr>
              <w:br/>
              <w:t xml:space="preserve">    展望二季度，对于债券市场，我们整体持中性乐观的态度，继续注重票息行情。投资者对二季度债市的担忧主要来自以下2点：1、二季度的地方债和国债发行即将放量，投资者担忧会推动债券收益率上升；2、二季度PPI可能会被推升较高，加之4月税期扰动，投资者担忧二季度央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建议继续关注商品与资产价格走势，以及4月中央/地方政府债务融资情况。但</w:t>
            </w:r>
            <w:r w:rsidR="0019374E">
              <w:rPr>
                <w:rFonts w:ascii="宋体" w:eastAsia="宋体" w:hAnsi="宋体" w:cs="宋体"/>
                <w:color w:val="000000"/>
                <w:sz w:val="21"/>
              </w:rPr>
              <w:t>在配置需求和央行“跨周期”调控思</w:t>
            </w: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2600" w:type="dxa"/>
            <w:gridSpan w:val="5"/>
          </w:tcPr>
          <w:p w:rsidR="00EA6A87" w:rsidRDefault="00EA6A87">
            <w:pPr>
              <w:pStyle w:val="EMPTYCELLSTYLE"/>
            </w:pPr>
          </w:p>
        </w:tc>
        <w:tc>
          <w:tcPr>
            <w:tcW w:w="800" w:type="dxa"/>
            <w:gridSpan w:val="2"/>
          </w:tcPr>
          <w:p w:rsidR="00EA6A87" w:rsidRDefault="00EA6A87">
            <w:pPr>
              <w:pStyle w:val="EMPTYCELLSTYLE"/>
            </w:pPr>
          </w:p>
        </w:tc>
        <w:tc>
          <w:tcPr>
            <w:tcW w:w="2000" w:type="dxa"/>
            <w:gridSpan w:val="4"/>
            <w:tcMar>
              <w:top w:w="0" w:type="dxa"/>
              <w:left w:w="0" w:type="dxa"/>
              <w:bottom w:w="0" w:type="dxa"/>
              <w:right w:w="0" w:type="dxa"/>
            </w:tcMar>
          </w:tcPr>
          <w:p w:rsidR="00EA6A87" w:rsidRDefault="00262EB3">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EA6A87" w:rsidRDefault="00262EB3">
            <w:pPr>
              <w:jc w:val="left"/>
            </w:pPr>
            <w:r>
              <w:rPr>
                <w:rFonts w:ascii="SansSerif" w:eastAsia="SansSerif" w:hAnsi="SansSerif" w:cs="SansSerif"/>
                <w:color w:val="000000"/>
                <w:sz w:val="18"/>
              </w:rPr>
              <w:t>8</w:t>
            </w:r>
          </w:p>
        </w:tc>
        <w:tc>
          <w:tcPr>
            <w:tcW w:w="400" w:type="dxa"/>
          </w:tcPr>
          <w:p w:rsidR="00EA6A87" w:rsidRDefault="00EA6A87">
            <w:pPr>
              <w:pStyle w:val="EMPTYCELLSTYLE"/>
            </w:pPr>
          </w:p>
        </w:tc>
        <w:tc>
          <w:tcPr>
            <w:tcW w:w="2400" w:type="dxa"/>
            <w:gridSpan w:val="2"/>
          </w:tcPr>
          <w:p w:rsidR="00EA6A87" w:rsidRDefault="00EA6A87">
            <w:pPr>
              <w:pStyle w:val="EMPTYCELLSTYLE"/>
            </w:pPr>
          </w:p>
        </w:tc>
        <w:tc>
          <w:tcPr>
            <w:tcW w:w="400" w:type="dxa"/>
            <w:gridSpan w:val="2"/>
          </w:tcPr>
          <w:p w:rsidR="00EA6A87" w:rsidRDefault="00EA6A87">
            <w:pPr>
              <w:pStyle w:val="EMPTYCELLSTYLE"/>
            </w:pPr>
          </w:p>
        </w:tc>
        <w:tc>
          <w:tcPr>
            <w:tcW w:w="100" w:type="dxa"/>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Pr>
        <w:tc>
          <w:tcPr>
            <w:tcW w:w="1" w:type="dxa"/>
          </w:tcPr>
          <w:p w:rsidR="00EA6A87" w:rsidRDefault="00EA6A87">
            <w:pPr>
              <w:pStyle w:val="EMPTYCELLSTYLE"/>
              <w:pageBreakBefore/>
            </w:pPr>
            <w:bookmarkStart w:id="4" w:name="JR_PAGE_ANCHOR_0_5"/>
            <w:bookmarkEnd w:id="4"/>
          </w:p>
        </w:tc>
        <w:tc>
          <w:tcPr>
            <w:tcW w:w="20" w:type="dxa"/>
          </w:tcPr>
          <w:p w:rsidR="00EA6A87" w:rsidRDefault="00EA6A87">
            <w:pPr>
              <w:pStyle w:val="EMPTYCELLSTYLE"/>
            </w:pPr>
          </w:p>
        </w:tc>
        <w:tc>
          <w:tcPr>
            <w:tcW w:w="3380" w:type="dxa"/>
            <w:gridSpan w:val="6"/>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bottom"/>
          </w:tcPr>
          <w:p w:rsidR="00EA6A87" w:rsidRDefault="00262EB3">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5号净值型理财产品S款2021年第一季度报告</w:t>
            </w: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hRule="exact" w:val="20"/>
        </w:trPr>
        <w:tc>
          <w:tcPr>
            <w:tcW w:w="1" w:type="dxa"/>
          </w:tcPr>
          <w:p w:rsidR="00EA6A87" w:rsidRDefault="00EA6A87">
            <w:pPr>
              <w:pStyle w:val="EMPTYCELLSTYLE"/>
            </w:pPr>
          </w:p>
        </w:tc>
        <w:tc>
          <w:tcPr>
            <w:tcW w:w="20" w:type="dxa"/>
          </w:tcPr>
          <w:p w:rsidR="00EA6A87" w:rsidRDefault="00EA6A87">
            <w:pPr>
              <w:pStyle w:val="EMPTYCELLSTYLE"/>
            </w:pPr>
          </w:p>
        </w:tc>
        <w:tc>
          <w:tcPr>
            <w:tcW w:w="3380" w:type="dxa"/>
            <w:gridSpan w:val="6"/>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hRule="exact" w:val="20"/>
        </w:trPr>
        <w:tc>
          <w:tcPr>
            <w:tcW w:w="1" w:type="dxa"/>
          </w:tcPr>
          <w:p w:rsidR="00EA6A87" w:rsidRDefault="00EA6A8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val="6960"/>
        </w:trPr>
        <w:tc>
          <w:tcPr>
            <w:tcW w:w="1" w:type="dxa"/>
          </w:tcPr>
          <w:p w:rsidR="00EA6A87" w:rsidRDefault="00EA6A87">
            <w:pPr>
              <w:pStyle w:val="EMPTYCELLSTYLE"/>
            </w:pPr>
          </w:p>
        </w:tc>
        <w:tc>
          <w:tcPr>
            <w:tcW w:w="10700" w:type="dxa"/>
            <w:gridSpan w:val="19"/>
            <w:tcMar>
              <w:top w:w="0" w:type="dxa"/>
              <w:left w:w="0" w:type="dxa"/>
              <w:bottom w:w="0" w:type="dxa"/>
              <w:right w:w="0" w:type="dxa"/>
            </w:tcMar>
          </w:tcPr>
          <w:p w:rsidR="00EA6A87" w:rsidRDefault="00262EB3">
            <w:pPr>
              <w:spacing w:line="320" w:lineRule="exact"/>
              <w:jc w:val="left"/>
            </w:pPr>
            <w:r>
              <w:rPr>
                <w:rFonts w:ascii="宋体" w:eastAsia="宋体" w:hAnsi="宋体" w:cs="宋体"/>
                <w:color w:val="000000"/>
                <w:sz w:val="21"/>
              </w:rPr>
              <w:t>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抢跑”和补仓行情，那么利率的下行速度可能就会比较快，投资者面临的可能就是踏空的损失。所以我们建议在参与波段行情的基础上，更加注重较为稳定的票息策略。</w:t>
            </w:r>
            <w:r>
              <w:rPr>
                <w:rFonts w:ascii="宋体" w:eastAsia="宋体" w:hAnsi="宋体" w:cs="宋体"/>
                <w:color w:val="000000"/>
                <w:sz w:val="21"/>
              </w:rPr>
              <w:br/>
              <w:t xml:space="preserve">    二、一季度运作回顾</w:t>
            </w:r>
            <w:r>
              <w:rPr>
                <w:rFonts w:ascii="宋体" w:eastAsia="宋体" w:hAnsi="宋体" w:cs="宋体"/>
                <w:color w:val="000000"/>
                <w:sz w:val="21"/>
              </w:rPr>
              <w:br/>
              <w:t xml:space="preserve">    2021年一季度，债券市场震荡偏强。前期供求错位+资金错位+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NCD等资金敏感型资产，转向票息策略。</w:t>
            </w:r>
            <w:r>
              <w:rPr>
                <w:rFonts w:ascii="宋体" w:eastAsia="宋体" w:hAnsi="宋体" w:cs="宋体"/>
                <w:color w:val="000000"/>
                <w:sz w:val="21"/>
              </w:rPr>
              <w:br/>
              <w:t xml:space="preserve">    三、二季度投资策略</w:t>
            </w:r>
            <w:r>
              <w:rPr>
                <w:rFonts w:ascii="宋体" w:eastAsia="宋体" w:hAnsi="宋体" w:cs="宋体"/>
                <w:color w:val="000000"/>
                <w:sz w:val="21"/>
              </w:rPr>
              <w:br/>
              <w:t xml:space="preserve">    展望二季度，产品将继续保持稳健的投资风格，以票息策略为主，同时维持中性的杠杆水平与中性的组合久期。1、短端同业存单依旧具备相对较好的配置价值。2、利率债方面，我们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保持观望，中段3-5年利率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适中，受供给影响较小，骑乘策略有一定挖掘空间。3、信用债票息机会仍是主流配置，但要甄别个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r>
              <w:rPr>
                <w:rFonts w:ascii="宋体" w:eastAsia="宋体" w:hAnsi="宋体" w:cs="宋体"/>
                <w:color w:val="000000"/>
                <w:sz w:val="21"/>
              </w:rPr>
              <w:br/>
              <w:t xml:space="preserve">    权益方面，展望长期，我们对于中国经济、对于A股市场充满信心，这次疫情大背景下中国经济、尤其是中国制造业展现出了强劲的韧性和全球竞争力，以新能源为代表的先进制造业在全球范围内也是第一梯队。在房住不炒的大背景下，居民资产长期往权益市场配置也是长周期的确定性趋势。从中周期看，经历过本轮下跌后，核心资产已经消化部分高估值，后续将通过盈利增长来消化估值，考虑到政策的稳定性、盈利的确定性、上层对资本市场的定位等方面，我们对后市并不悲观。因此，对于绝对收益的产品，一方面我们将以更严苛的要求选择基金，一方面我们将在大波动中择</w:t>
            </w:r>
            <w:proofErr w:type="gramStart"/>
            <w:r>
              <w:rPr>
                <w:rFonts w:ascii="宋体" w:eastAsia="宋体" w:hAnsi="宋体" w:cs="宋体"/>
                <w:color w:val="000000"/>
                <w:sz w:val="21"/>
              </w:rPr>
              <w:t>机把握</w:t>
            </w:r>
            <w:proofErr w:type="gramEnd"/>
            <w:r>
              <w:rPr>
                <w:rFonts w:ascii="宋体" w:eastAsia="宋体" w:hAnsi="宋体" w:cs="宋体"/>
                <w:color w:val="000000"/>
                <w:sz w:val="21"/>
              </w:rPr>
              <w:t>结构性机会。对于相对收益产品，我们更多通过选择优秀基金实现持续稳定的alpha。</w:t>
            </w: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hRule="exact" w:val="200"/>
        </w:trPr>
        <w:tc>
          <w:tcPr>
            <w:tcW w:w="1" w:type="dxa"/>
          </w:tcPr>
          <w:p w:rsidR="00EA6A87" w:rsidRDefault="00EA6A87">
            <w:pPr>
              <w:pStyle w:val="EMPTYCELLSTYLE"/>
            </w:pPr>
          </w:p>
        </w:tc>
        <w:tc>
          <w:tcPr>
            <w:tcW w:w="20" w:type="dxa"/>
          </w:tcPr>
          <w:p w:rsidR="00EA6A87" w:rsidRDefault="00EA6A87">
            <w:pPr>
              <w:pStyle w:val="EMPTYCELLSTYLE"/>
            </w:pPr>
          </w:p>
        </w:tc>
        <w:tc>
          <w:tcPr>
            <w:tcW w:w="3380" w:type="dxa"/>
            <w:gridSpan w:val="6"/>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4"/>
              </w:rPr>
              <w:t>§ 六. 投资组合情况</w:t>
            </w: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hRule="exact" w:val="200"/>
        </w:trPr>
        <w:tc>
          <w:tcPr>
            <w:tcW w:w="1" w:type="dxa"/>
          </w:tcPr>
          <w:p w:rsidR="00EA6A87" w:rsidRDefault="00EA6A87">
            <w:pPr>
              <w:pStyle w:val="EMPTYCELLSTYLE"/>
            </w:pPr>
          </w:p>
        </w:tc>
        <w:tc>
          <w:tcPr>
            <w:tcW w:w="20" w:type="dxa"/>
          </w:tcPr>
          <w:p w:rsidR="00EA6A87" w:rsidRDefault="00EA6A87">
            <w:pPr>
              <w:pStyle w:val="EMPTYCELLSTYLE"/>
            </w:pPr>
          </w:p>
        </w:tc>
        <w:tc>
          <w:tcPr>
            <w:tcW w:w="3380" w:type="dxa"/>
            <w:gridSpan w:val="6"/>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val="400"/>
        </w:trPr>
        <w:tc>
          <w:tcPr>
            <w:tcW w:w="1" w:type="dxa"/>
          </w:tcPr>
          <w:p w:rsidR="00EA6A87" w:rsidRDefault="00EA6A87">
            <w:pPr>
              <w:pStyle w:val="EMPTYCELLSTYLE"/>
            </w:pPr>
          </w:p>
        </w:tc>
        <w:tc>
          <w:tcPr>
            <w:tcW w:w="20" w:type="dxa"/>
          </w:tcPr>
          <w:p w:rsidR="00EA6A87" w:rsidRDefault="00EA6A87">
            <w:pPr>
              <w:pStyle w:val="EMPTYCELLSTYLE"/>
            </w:pPr>
          </w:p>
        </w:tc>
        <w:tc>
          <w:tcPr>
            <w:tcW w:w="10700" w:type="dxa"/>
            <w:gridSpan w:val="20"/>
            <w:tcMar>
              <w:top w:w="0" w:type="dxa"/>
              <w:left w:w="0" w:type="dxa"/>
              <w:bottom w:w="0" w:type="dxa"/>
              <w:right w:w="0" w:type="dxa"/>
            </w:tcMar>
            <w:vAlign w:val="center"/>
          </w:tcPr>
          <w:p w:rsidR="00EA6A87" w:rsidRDefault="00262EB3">
            <w:pPr>
              <w:jc w:val="left"/>
            </w:pPr>
            <w:r>
              <w:rPr>
                <w:rFonts w:ascii="宋体" w:eastAsia="宋体" w:hAnsi="宋体" w:cs="宋体"/>
                <w:b/>
                <w:color w:val="000000"/>
                <w:sz w:val="21"/>
              </w:rPr>
              <w:t>1.报告期末产品资产组合情况</w:t>
            </w:r>
          </w:p>
        </w:tc>
        <w:tc>
          <w:tcPr>
            <w:tcW w:w="1" w:type="dxa"/>
          </w:tcPr>
          <w:p w:rsidR="00EA6A87" w:rsidRDefault="00EA6A87">
            <w:pPr>
              <w:pStyle w:val="EMPTYCELLSTYLE"/>
            </w:pPr>
          </w:p>
        </w:tc>
      </w:tr>
      <w:tr w:rsidR="00EA6A87">
        <w:trPr>
          <w:gridAfter w:val="2"/>
          <w:wAfter w:w="20" w:type="dxa"/>
          <w:trHeight w:hRule="exact" w:val="40"/>
        </w:trPr>
        <w:tc>
          <w:tcPr>
            <w:tcW w:w="1" w:type="dxa"/>
          </w:tcPr>
          <w:p w:rsidR="00EA6A87" w:rsidRDefault="00EA6A87">
            <w:pPr>
              <w:pStyle w:val="EMPTYCELLSTYLE"/>
            </w:pPr>
          </w:p>
        </w:tc>
        <w:tc>
          <w:tcPr>
            <w:tcW w:w="20" w:type="dxa"/>
          </w:tcPr>
          <w:p w:rsidR="00EA6A87" w:rsidRDefault="00EA6A87">
            <w:pPr>
              <w:pStyle w:val="EMPTYCELLSTYLE"/>
            </w:pPr>
          </w:p>
        </w:tc>
        <w:tc>
          <w:tcPr>
            <w:tcW w:w="3380" w:type="dxa"/>
            <w:gridSpan w:val="6"/>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hRule="exact" w:val="4200"/>
        </w:trPr>
        <w:tc>
          <w:tcPr>
            <w:tcW w:w="1" w:type="dxa"/>
          </w:tcPr>
          <w:p w:rsidR="00EA6A87" w:rsidRDefault="00EA6A87">
            <w:pPr>
              <w:pStyle w:val="EMPTYCELLSTYLE"/>
            </w:pPr>
          </w:p>
        </w:tc>
        <w:tc>
          <w:tcPr>
            <w:tcW w:w="20" w:type="dxa"/>
          </w:tcPr>
          <w:p w:rsidR="00EA6A87" w:rsidRDefault="00EA6A87">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600"/>
              <w:gridCol w:w="4000"/>
              <w:gridCol w:w="3100"/>
            </w:tblGrid>
            <w:tr w:rsidR="00EA6A87">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序号</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资产类型</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直接投资占比（%）</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间接投资占比（%）</w:t>
                        </w:r>
                      </w:p>
                    </w:tc>
                  </w:tr>
                </w:tbl>
                <w:p w:rsidR="00EA6A87" w:rsidRDefault="00EA6A87">
                  <w:pPr>
                    <w:pStyle w:val="EMPTYCELLSTYLE"/>
                  </w:pPr>
                </w:p>
              </w:tc>
            </w:tr>
            <w:tr w:rsidR="00EA6A87">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w:t>
                        </w:r>
                      </w:p>
                    </w:tc>
                  </w:tr>
                </w:tbl>
                <w:p w:rsidR="00EA6A87" w:rsidRDefault="00EA6A8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现金及存款</w:t>
                        </w:r>
                      </w:p>
                    </w:tc>
                  </w:tr>
                </w:tbl>
                <w:p w:rsidR="00EA6A87" w:rsidRDefault="00EA6A8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7.98</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30.01</w:t>
                        </w:r>
                      </w:p>
                    </w:tc>
                  </w:tr>
                </w:tbl>
                <w:p w:rsidR="00EA6A87" w:rsidRDefault="00EA6A87">
                  <w:pPr>
                    <w:pStyle w:val="EMPTYCELLSTYLE"/>
                  </w:pPr>
                </w:p>
              </w:tc>
            </w:tr>
            <w:tr w:rsidR="00EA6A87">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w:t>
                        </w:r>
                      </w:p>
                    </w:tc>
                  </w:tr>
                </w:tbl>
                <w:p w:rsidR="00EA6A87" w:rsidRDefault="00EA6A8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买入返售金融资产</w:t>
                        </w:r>
                      </w:p>
                    </w:tc>
                  </w:tr>
                </w:tbl>
                <w:p w:rsidR="00EA6A87" w:rsidRDefault="00EA6A8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0.00</w:t>
                        </w:r>
                      </w:p>
                    </w:tc>
                  </w:tr>
                </w:tbl>
                <w:p w:rsidR="00EA6A87" w:rsidRDefault="00EA6A87">
                  <w:pPr>
                    <w:pStyle w:val="EMPTYCELLSTYLE"/>
                  </w:pPr>
                </w:p>
              </w:tc>
            </w:tr>
            <w:tr w:rsidR="00EA6A87">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3</w:t>
                        </w:r>
                      </w:p>
                    </w:tc>
                  </w:tr>
                </w:tbl>
                <w:p w:rsidR="00EA6A87" w:rsidRDefault="00EA6A8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债券投资</w:t>
                        </w:r>
                      </w:p>
                    </w:tc>
                  </w:tr>
                </w:tbl>
                <w:p w:rsidR="00EA6A87" w:rsidRDefault="00EA6A8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54.58</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54.58</w:t>
                        </w:r>
                      </w:p>
                    </w:tc>
                  </w:tr>
                </w:tbl>
                <w:p w:rsidR="00EA6A87" w:rsidRDefault="00EA6A87">
                  <w:pPr>
                    <w:pStyle w:val="EMPTYCELLSTYLE"/>
                  </w:pPr>
                </w:p>
              </w:tc>
            </w:tr>
            <w:tr w:rsidR="00EA6A87">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4</w:t>
                        </w:r>
                      </w:p>
                    </w:tc>
                  </w:tr>
                </w:tbl>
                <w:p w:rsidR="00EA6A87" w:rsidRDefault="00EA6A8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权益投资</w:t>
                        </w:r>
                      </w:p>
                    </w:tc>
                  </w:tr>
                </w:tbl>
                <w:p w:rsidR="00EA6A87" w:rsidRDefault="00EA6A8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15.41</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15.41</w:t>
                        </w:r>
                      </w:p>
                    </w:tc>
                  </w:tr>
                </w:tbl>
                <w:p w:rsidR="00EA6A87" w:rsidRDefault="00EA6A87">
                  <w:pPr>
                    <w:pStyle w:val="EMPTYCELLSTYLE"/>
                  </w:pPr>
                </w:p>
              </w:tc>
            </w:tr>
            <w:tr w:rsidR="00EA6A87">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5</w:t>
                        </w:r>
                      </w:p>
                    </w:tc>
                  </w:tr>
                </w:tbl>
                <w:p w:rsidR="00EA6A87" w:rsidRDefault="00EA6A8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委外投资</w:t>
                        </w:r>
                      </w:p>
                    </w:tc>
                  </w:tr>
                </w:tbl>
                <w:p w:rsidR="00EA6A87" w:rsidRDefault="00EA6A8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22.03</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0.00</w:t>
                        </w:r>
                      </w:p>
                    </w:tc>
                  </w:tr>
                </w:tbl>
                <w:p w:rsidR="00EA6A87" w:rsidRDefault="00EA6A87">
                  <w:pPr>
                    <w:pStyle w:val="EMPTYCELLSTYLE"/>
                  </w:pPr>
                </w:p>
              </w:tc>
            </w:tr>
            <w:tr w:rsidR="00EA6A87">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tcMar>
                          <w:top w:w="0" w:type="dxa"/>
                          <w:left w:w="0" w:type="dxa"/>
                          <w:bottom w:w="0" w:type="dxa"/>
                          <w:right w:w="0" w:type="dxa"/>
                        </w:tcMar>
                        <w:vAlign w:val="center"/>
                      </w:tcPr>
                      <w:p w:rsidR="00EA6A87" w:rsidRDefault="00EA6A87">
                        <w:pPr>
                          <w:jc w:val="center"/>
                        </w:pPr>
                      </w:p>
                    </w:tc>
                  </w:tr>
                </w:tbl>
                <w:p w:rsidR="00EA6A87" w:rsidRDefault="00EA6A8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总计</w:t>
                        </w:r>
                      </w:p>
                    </w:tc>
                  </w:tr>
                </w:tbl>
                <w:p w:rsidR="00EA6A87" w:rsidRDefault="00EA6A8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100.00</w:t>
                        </w:r>
                      </w:p>
                    </w:tc>
                  </w:tr>
                </w:tbl>
                <w:p w:rsidR="00EA6A87" w:rsidRDefault="00EA6A87">
                  <w:pPr>
                    <w:pStyle w:val="EMPTYCELLSTYLE"/>
                  </w:pPr>
                </w:p>
              </w:tc>
            </w:tr>
          </w:tbl>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hRule="exact" w:val="20"/>
        </w:trPr>
        <w:tc>
          <w:tcPr>
            <w:tcW w:w="1" w:type="dxa"/>
          </w:tcPr>
          <w:p w:rsidR="00EA6A87" w:rsidRDefault="00EA6A87">
            <w:pPr>
              <w:pStyle w:val="EMPTYCELLSTYLE"/>
            </w:pPr>
          </w:p>
        </w:tc>
        <w:tc>
          <w:tcPr>
            <w:tcW w:w="20" w:type="dxa"/>
          </w:tcPr>
          <w:p w:rsidR="00EA6A87" w:rsidRDefault="00EA6A87">
            <w:pPr>
              <w:pStyle w:val="EMPTYCELLSTYLE"/>
            </w:pPr>
          </w:p>
        </w:tc>
        <w:tc>
          <w:tcPr>
            <w:tcW w:w="3380" w:type="dxa"/>
            <w:gridSpan w:val="6"/>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left"/>
            </w:pPr>
            <w:r>
              <w:rPr>
                <w:rFonts w:ascii="宋体" w:eastAsia="宋体" w:hAnsi="宋体" w:cs="宋体"/>
                <w:b/>
                <w:color w:val="000000"/>
                <w:sz w:val="21"/>
              </w:rPr>
              <w:t>2.报告期末杠杆融资情况</w:t>
            </w: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val="1000"/>
        </w:trPr>
        <w:tc>
          <w:tcPr>
            <w:tcW w:w="1" w:type="dxa"/>
          </w:tcPr>
          <w:p w:rsidR="00EA6A87" w:rsidRDefault="00EA6A87">
            <w:pPr>
              <w:pStyle w:val="EMPTYCELLSTYLE"/>
            </w:pPr>
          </w:p>
        </w:tc>
        <w:tc>
          <w:tcPr>
            <w:tcW w:w="10700" w:type="dxa"/>
            <w:gridSpan w:val="19"/>
            <w:tcMar>
              <w:top w:w="0" w:type="dxa"/>
              <w:left w:w="0" w:type="dxa"/>
              <w:bottom w:w="0" w:type="dxa"/>
              <w:right w:w="0" w:type="dxa"/>
            </w:tcMar>
          </w:tcPr>
          <w:p w:rsidR="00EA6A87" w:rsidRDefault="00262EB3">
            <w:pPr>
              <w:spacing w:line="320" w:lineRule="exact"/>
              <w:jc w:val="left"/>
            </w:pPr>
            <w:r>
              <w:rPr>
                <w:rFonts w:ascii="宋体" w:eastAsia="宋体" w:hAnsi="宋体" w:cs="宋体"/>
                <w:color w:val="000000"/>
                <w:sz w:val="21"/>
              </w:rPr>
              <w:t xml:space="preserve">    报告期末本产品债券回购融资余额未超过净资产规模的40%，本产品总资产未超过该产品净资产规模的140%，符合产品协议对本产品杠杆比例的要求。</w:t>
            </w: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hRule="exact" w:val="580"/>
        </w:trPr>
        <w:tc>
          <w:tcPr>
            <w:tcW w:w="1" w:type="dxa"/>
          </w:tcPr>
          <w:p w:rsidR="00EA6A87" w:rsidRDefault="00EA6A87">
            <w:pPr>
              <w:pStyle w:val="EMPTYCELLSTYLE"/>
            </w:pPr>
          </w:p>
        </w:tc>
        <w:tc>
          <w:tcPr>
            <w:tcW w:w="20" w:type="dxa"/>
          </w:tcPr>
          <w:p w:rsidR="00EA6A87" w:rsidRDefault="00EA6A87">
            <w:pPr>
              <w:pStyle w:val="EMPTYCELLSTYLE"/>
            </w:pPr>
          </w:p>
        </w:tc>
        <w:tc>
          <w:tcPr>
            <w:tcW w:w="3380" w:type="dxa"/>
            <w:gridSpan w:val="6"/>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2"/>
          <w:wAfter w:w="20" w:type="dxa"/>
          <w:trHeight w:val="400"/>
        </w:trPr>
        <w:tc>
          <w:tcPr>
            <w:tcW w:w="1" w:type="dxa"/>
          </w:tcPr>
          <w:p w:rsidR="00EA6A87" w:rsidRDefault="00EA6A87">
            <w:pPr>
              <w:pStyle w:val="EMPTYCELLSTYLE"/>
            </w:pPr>
          </w:p>
        </w:tc>
        <w:tc>
          <w:tcPr>
            <w:tcW w:w="20" w:type="dxa"/>
          </w:tcPr>
          <w:p w:rsidR="00EA6A87" w:rsidRDefault="00EA6A87">
            <w:pPr>
              <w:pStyle w:val="EMPTYCELLSTYLE"/>
            </w:pPr>
          </w:p>
        </w:tc>
        <w:tc>
          <w:tcPr>
            <w:tcW w:w="3380" w:type="dxa"/>
            <w:gridSpan w:val="6"/>
          </w:tcPr>
          <w:p w:rsidR="00EA6A87" w:rsidRDefault="00EA6A87">
            <w:pPr>
              <w:pStyle w:val="EMPTYCELLSTYLE"/>
            </w:pPr>
          </w:p>
        </w:tc>
        <w:tc>
          <w:tcPr>
            <w:tcW w:w="2000" w:type="dxa"/>
            <w:gridSpan w:val="4"/>
            <w:tcMar>
              <w:top w:w="0" w:type="dxa"/>
              <w:left w:w="0" w:type="dxa"/>
              <w:bottom w:w="0" w:type="dxa"/>
              <w:right w:w="0" w:type="dxa"/>
            </w:tcMar>
          </w:tcPr>
          <w:p w:rsidR="00EA6A87" w:rsidRDefault="00262EB3">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EA6A87" w:rsidRDefault="00262EB3">
            <w:pPr>
              <w:jc w:val="left"/>
            </w:pPr>
            <w:r>
              <w:rPr>
                <w:rFonts w:ascii="SansSerif" w:eastAsia="SansSerif" w:hAnsi="SansSerif" w:cs="SansSerif"/>
                <w:color w:val="000000"/>
                <w:sz w:val="18"/>
              </w:rPr>
              <w:t>8</w:t>
            </w:r>
          </w:p>
        </w:tc>
        <w:tc>
          <w:tcPr>
            <w:tcW w:w="3300" w:type="dxa"/>
            <w:gridSpan w:val="6"/>
          </w:tcPr>
          <w:p w:rsidR="00EA6A87" w:rsidRDefault="00EA6A87">
            <w:pPr>
              <w:pStyle w:val="EMPTYCELLSTYLE"/>
            </w:pPr>
          </w:p>
        </w:tc>
        <w:tc>
          <w:tcPr>
            <w:tcW w:w="20" w:type="dxa"/>
            <w:gridSpan w:val="2"/>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Pr>
        <w:tc>
          <w:tcPr>
            <w:tcW w:w="1" w:type="dxa"/>
          </w:tcPr>
          <w:p w:rsidR="00EA6A87" w:rsidRDefault="00EA6A87">
            <w:pPr>
              <w:pStyle w:val="EMPTYCELLSTYLE"/>
              <w:pageBreakBefore/>
            </w:pPr>
            <w:bookmarkStart w:id="5" w:name="JR_PAGE_ANCHOR_0_6"/>
            <w:bookmarkEnd w:id="5"/>
          </w:p>
        </w:tc>
        <w:tc>
          <w:tcPr>
            <w:tcW w:w="3400" w:type="dxa"/>
            <w:gridSpan w:val="7"/>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bottom"/>
          </w:tcPr>
          <w:p w:rsidR="00EA6A87" w:rsidRDefault="00262EB3">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5号净值型理财产品S款2021年第一季度报告</w:t>
            </w: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left"/>
            </w:pPr>
            <w:r>
              <w:rPr>
                <w:rFonts w:ascii="宋体" w:eastAsia="宋体" w:hAnsi="宋体" w:cs="宋体"/>
                <w:b/>
                <w:color w:val="000000"/>
                <w:sz w:val="21"/>
              </w:rPr>
              <w:t>3.投资组合的流动性风险分析</w:t>
            </w:r>
          </w:p>
        </w:tc>
        <w:tc>
          <w:tcPr>
            <w:tcW w:w="1" w:type="dxa"/>
          </w:tcPr>
          <w:p w:rsidR="00EA6A87" w:rsidRDefault="00EA6A87">
            <w:pPr>
              <w:pStyle w:val="EMPTYCELLSTYLE"/>
            </w:pPr>
          </w:p>
        </w:tc>
      </w:tr>
      <w:tr w:rsidR="00EA6A87">
        <w:trPr>
          <w:gridAfter w:val="4"/>
          <w:wAfter w:w="40" w:type="dxa"/>
          <w:trHeight w:val="2580"/>
        </w:trPr>
        <w:tc>
          <w:tcPr>
            <w:tcW w:w="1" w:type="dxa"/>
          </w:tcPr>
          <w:p w:rsidR="00EA6A87" w:rsidRDefault="00EA6A87">
            <w:pPr>
              <w:pStyle w:val="EMPTYCELLSTYLE"/>
            </w:pPr>
          </w:p>
        </w:tc>
        <w:tc>
          <w:tcPr>
            <w:tcW w:w="10700" w:type="dxa"/>
            <w:gridSpan w:val="19"/>
            <w:tcMar>
              <w:top w:w="0" w:type="dxa"/>
              <w:left w:w="0" w:type="dxa"/>
              <w:bottom w:w="0" w:type="dxa"/>
              <w:right w:w="0" w:type="dxa"/>
            </w:tcMar>
          </w:tcPr>
          <w:p w:rsidR="00EA6A87" w:rsidRDefault="00262EB3">
            <w:pPr>
              <w:spacing w:line="320" w:lineRule="exact"/>
              <w:jc w:val="left"/>
            </w:pPr>
            <w:r>
              <w:rPr>
                <w:rFonts w:ascii="宋体" w:eastAsia="宋体" w:hAnsi="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1" w:type="dxa"/>
          </w:tcPr>
          <w:p w:rsidR="00EA6A87" w:rsidRDefault="00EA6A87">
            <w:pPr>
              <w:pStyle w:val="EMPTYCELLSTYLE"/>
            </w:pPr>
          </w:p>
        </w:tc>
      </w:tr>
      <w:tr w:rsidR="00EA6A87">
        <w:trPr>
          <w:gridAfter w:val="4"/>
          <w:wAfter w:w="40" w:type="dxa"/>
          <w:trHeight w:hRule="exact" w:val="50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r>
              <w:rPr>
                <w:rFonts w:ascii="宋体" w:eastAsia="宋体" w:hAnsi="宋体" w:cs="宋体"/>
                <w:b/>
                <w:color w:val="000000"/>
                <w:sz w:val="21"/>
              </w:rPr>
              <w:t>4.报告期末资产持仓前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EA6A87" w:rsidRDefault="00EA6A87">
            <w:pPr>
              <w:pStyle w:val="EMPTYCELLSTYLE"/>
            </w:pPr>
          </w:p>
        </w:tc>
      </w:tr>
      <w:tr w:rsidR="00EA6A87">
        <w:trPr>
          <w:gridAfter w:val="4"/>
          <w:wAfter w:w="40" w:type="dxa"/>
          <w:trHeight w:hRule="exact" w:val="6640"/>
        </w:trPr>
        <w:tc>
          <w:tcPr>
            <w:tcW w:w="1" w:type="dxa"/>
          </w:tcPr>
          <w:p w:rsidR="00EA6A87" w:rsidRDefault="00EA6A87">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4000"/>
              <w:gridCol w:w="2600"/>
              <w:gridCol w:w="3100"/>
            </w:tblGrid>
            <w:tr w:rsidR="00EA6A87">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40"/>
                    </w:trPr>
                    <w:tc>
                      <w:tcPr>
                        <w:tcW w:w="10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序号</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40"/>
                    </w:trPr>
                    <w:tc>
                      <w:tcPr>
                        <w:tcW w:w="40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资产名称</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40"/>
                    </w:trPr>
                    <w:tc>
                      <w:tcPr>
                        <w:tcW w:w="26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资产面额</w:t>
                        </w:r>
                      </w:p>
                    </w:tc>
                  </w:tr>
                </w:tbl>
                <w:p w:rsidR="00EA6A87" w:rsidRDefault="00EA6A87">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40"/>
                    </w:trPr>
                    <w:tc>
                      <w:tcPr>
                        <w:tcW w:w="31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占产品资产净值的比例（%）</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阳光资产-</w:t>
                        </w:r>
                        <w:proofErr w:type="gramStart"/>
                        <w:r>
                          <w:rPr>
                            <w:rFonts w:ascii="宋体" w:eastAsia="宋体" w:hAnsi="宋体" w:cs="宋体"/>
                            <w:color w:val="000000"/>
                            <w:sz w:val="21"/>
                          </w:rPr>
                          <w:t>优享5号</w:t>
                        </w:r>
                        <w:proofErr w:type="gramEnd"/>
                        <w:r>
                          <w:rPr>
                            <w:rFonts w:ascii="宋体" w:eastAsia="宋体" w:hAnsi="宋体" w:cs="宋体"/>
                            <w:color w:val="000000"/>
                            <w:sz w:val="21"/>
                          </w:rPr>
                          <w:t>资产管理产品</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4,199,539,910.66</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15.11</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光大永</w:t>
                        </w:r>
                        <w:proofErr w:type="gramStart"/>
                        <w:r>
                          <w:rPr>
                            <w:rFonts w:ascii="宋体" w:eastAsia="宋体" w:hAnsi="宋体" w:cs="宋体"/>
                            <w:color w:val="000000"/>
                            <w:sz w:val="21"/>
                          </w:rPr>
                          <w:t>明资产永聚固收</w:t>
                        </w:r>
                        <w:proofErr w:type="gramEnd"/>
                        <w:r>
                          <w:rPr>
                            <w:rFonts w:ascii="宋体" w:eastAsia="宋体" w:hAnsi="宋体" w:cs="宋体"/>
                            <w:color w:val="000000"/>
                            <w:sz w:val="21"/>
                          </w:rPr>
                          <w:t>77号集合资产管理产品</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2,699,648,205.57</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9.65</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3</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18建设银行二级02</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800,000,000.00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2.85</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4</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18农业银行二级01</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660,000,000.00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2.33</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5</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上海银行大额存单20210226002</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500,000,000.00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1.74</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6</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20民生银行CD182</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500,000,000.00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1.71</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7</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14建行二级01</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400,000,000.00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1.48</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8</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21中信银行CD050</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400,000,000.00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1.35</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18建设银行二级01</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330,000,000.00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1.18</w:t>
                        </w:r>
                      </w:p>
                    </w:tc>
                  </w:tr>
                </w:tbl>
                <w:p w:rsidR="00EA6A87" w:rsidRDefault="00EA6A87">
                  <w:pPr>
                    <w:pStyle w:val="EMPTYCELLSTYLE"/>
                  </w:pPr>
                </w:p>
              </w:tc>
            </w:tr>
            <w:tr w:rsidR="00EA6A87">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4A0"/>
                  </w:tblPr>
                  <w:tblGrid>
                    <w:gridCol w:w="1000"/>
                  </w:tblGrid>
                  <w:tr w:rsidR="00EA6A87">
                    <w:trPr>
                      <w:trHeight w:val="58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w:t>
                        </w:r>
                      </w:p>
                    </w:tc>
                  </w:tr>
                </w:tbl>
                <w:p w:rsidR="00EA6A87" w:rsidRDefault="00EA6A8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4000"/>
                  </w:tblGrid>
                  <w:tr w:rsidR="00EA6A87">
                    <w:trPr>
                      <w:trHeight w:val="600"/>
                    </w:trPr>
                    <w:tc>
                      <w:tcPr>
                        <w:tcW w:w="4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w:t>
                        </w:r>
                        <w:proofErr w:type="gramStart"/>
                        <w:r>
                          <w:rPr>
                            <w:rFonts w:ascii="宋体" w:eastAsia="宋体" w:hAnsi="宋体" w:cs="宋体"/>
                            <w:color w:val="000000"/>
                            <w:sz w:val="21"/>
                          </w:rPr>
                          <w:t>迈科</w:t>
                        </w:r>
                        <w:proofErr w:type="gramEnd"/>
                        <w:r>
                          <w:rPr>
                            <w:rFonts w:ascii="宋体" w:eastAsia="宋体" w:hAnsi="宋体" w:cs="宋体"/>
                            <w:color w:val="000000"/>
                            <w:sz w:val="21"/>
                          </w:rPr>
                          <w:t>A</w:t>
                        </w:r>
                      </w:p>
                    </w:tc>
                  </w:tr>
                </w:tbl>
                <w:p w:rsidR="00EA6A87" w:rsidRDefault="00EA6A8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600"/>
                  </w:tblGrid>
                  <w:tr w:rsidR="00EA6A87">
                    <w:trPr>
                      <w:trHeight w:val="600"/>
                    </w:trPr>
                    <w:tc>
                      <w:tcPr>
                        <w:tcW w:w="2600" w:type="dxa"/>
                        <w:tcMar>
                          <w:top w:w="0" w:type="dxa"/>
                          <w:left w:w="0" w:type="dxa"/>
                          <w:bottom w:w="0" w:type="dxa"/>
                          <w:right w:w="0" w:type="dxa"/>
                        </w:tcMar>
                        <w:vAlign w:val="center"/>
                      </w:tcPr>
                      <w:p w:rsidR="00EA6A87" w:rsidRDefault="004F39DE">
                        <w:pPr>
                          <w:jc w:val="center"/>
                        </w:pPr>
                        <w:r>
                          <w:rPr>
                            <w:rFonts w:ascii="宋体" w:eastAsia="宋体" w:hAnsi="宋体" w:cs="宋体"/>
                            <w:color w:val="000000"/>
                            <w:sz w:val="21"/>
                          </w:rPr>
                          <w:t>330,000,000.00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1.14</w:t>
                        </w:r>
                      </w:p>
                    </w:tc>
                  </w:tr>
                </w:tbl>
                <w:p w:rsidR="00EA6A87" w:rsidRDefault="00EA6A87">
                  <w:pPr>
                    <w:pStyle w:val="EMPTYCELLSTYLE"/>
                  </w:pPr>
                </w:p>
              </w:tc>
            </w:tr>
          </w:tbl>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388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3400" w:type="dxa"/>
            <w:gridSpan w:val="7"/>
          </w:tcPr>
          <w:p w:rsidR="00EA6A87" w:rsidRDefault="00EA6A87">
            <w:pPr>
              <w:pStyle w:val="EMPTYCELLSTYLE"/>
            </w:pPr>
          </w:p>
        </w:tc>
        <w:tc>
          <w:tcPr>
            <w:tcW w:w="2000" w:type="dxa"/>
            <w:gridSpan w:val="4"/>
            <w:tcMar>
              <w:top w:w="0" w:type="dxa"/>
              <w:left w:w="0" w:type="dxa"/>
              <w:bottom w:w="0" w:type="dxa"/>
              <w:right w:w="0" w:type="dxa"/>
            </w:tcMar>
          </w:tcPr>
          <w:p w:rsidR="00EA6A87" w:rsidRDefault="00262EB3">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EA6A87" w:rsidRDefault="00262EB3">
            <w:pPr>
              <w:jc w:val="left"/>
            </w:pPr>
            <w:r>
              <w:rPr>
                <w:rFonts w:ascii="SansSerif" w:eastAsia="SansSerif" w:hAnsi="SansSerif" w:cs="SansSerif"/>
                <w:color w:val="000000"/>
                <w:sz w:val="18"/>
              </w:rPr>
              <w:t>8</w:t>
            </w: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Pr>
        <w:tc>
          <w:tcPr>
            <w:tcW w:w="1" w:type="dxa"/>
          </w:tcPr>
          <w:p w:rsidR="00EA6A87" w:rsidRDefault="00EA6A87">
            <w:pPr>
              <w:pStyle w:val="EMPTYCELLSTYLE"/>
              <w:pageBreakBefore/>
            </w:pPr>
            <w:bookmarkStart w:id="6" w:name="JR_PAGE_ANCHOR_0_7"/>
            <w:bookmarkEnd w:id="6"/>
          </w:p>
        </w:tc>
        <w:tc>
          <w:tcPr>
            <w:tcW w:w="200" w:type="dxa"/>
            <w:gridSpan w:val="4"/>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bottom"/>
          </w:tcPr>
          <w:p w:rsidR="00EA6A87" w:rsidRDefault="00262EB3">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5号净值型理财产品S款2021年第一季度报告</w:t>
            </w: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200" w:type="dxa"/>
            <w:gridSpan w:val="4"/>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hRule="exact" w:val="20"/>
        </w:trPr>
        <w:tc>
          <w:tcPr>
            <w:tcW w:w="1" w:type="dxa"/>
          </w:tcPr>
          <w:p w:rsidR="00EA6A87" w:rsidRDefault="00EA6A8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6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r>
              <w:rPr>
                <w:rFonts w:ascii="宋体" w:eastAsia="宋体" w:hAnsi="宋体" w:cs="宋体"/>
                <w:b/>
                <w:color w:val="000000"/>
                <w:sz w:val="21"/>
              </w:rPr>
              <w:t>5.报告期间关联交易情况</w:t>
            </w: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200" w:type="dxa"/>
            <w:gridSpan w:val="4"/>
          </w:tcPr>
          <w:p w:rsidR="00EA6A87" w:rsidRDefault="00EA6A87">
            <w:pPr>
              <w:pStyle w:val="EMPTYCELLSTYLE"/>
            </w:pPr>
          </w:p>
        </w:tc>
        <w:tc>
          <w:tcPr>
            <w:tcW w:w="10500" w:type="dxa"/>
            <w:gridSpan w:val="15"/>
            <w:tcMar>
              <w:top w:w="0" w:type="dxa"/>
              <w:left w:w="0" w:type="dxa"/>
              <w:bottom w:w="0" w:type="dxa"/>
              <w:right w:w="0" w:type="dxa"/>
            </w:tcMar>
          </w:tcPr>
          <w:p w:rsidR="00EA6A87" w:rsidRDefault="00262EB3">
            <w:r>
              <w:rPr>
                <w:rFonts w:ascii="宋体" w:eastAsia="宋体" w:hAnsi="宋体" w:cs="宋体"/>
                <w:color w:val="000000"/>
              </w:rPr>
              <w:t>5.1 理财产品在报告期末投资关联方发行、承销的证券的情况</w:t>
            </w:r>
          </w:p>
        </w:tc>
        <w:tc>
          <w:tcPr>
            <w:tcW w:w="1" w:type="dxa"/>
          </w:tcPr>
          <w:p w:rsidR="00EA6A87" w:rsidRDefault="00EA6A87">
            <w:pPr>
              <w:pStyle w:val="EMPTYCELLSTYLE"/>
            </w:pPr>
          </w:p>
        </w:tc>
      </w:tr>
      <w:tr w:rsidR="00EA6A87">
        <w:trPr>
          <w:gridAfter w:val="4"/>
          <w:wAfter w:w="40" w:type="dxa"/>
          <w:trHeight w:hRule="exact" w:val="13800"/>
        </w:trPr>
        <w:tc>
          <w:tcPr>
            <w:tcW w:w="1" w:type="dxa"/>
          </w:tcPr>
          <w:p w:rsidR="00EA6A87" w:rsidRDefault="00EA6A8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800"/>
              <w:gridCol w:w="3000"/>
              <w:gridCol w:w="2800"/>
              <w:gridCol w:w="3100"/>
            </w:tblGrid>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产品代码</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资产名称</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资产面额（元）</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承销商/发行人</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18盐城</w:t>
                        </w:r>
                        <w:proofErr w:type="gramStart"/>
                        <w:r>
                          <w:rPr>
                            <w:rFonts w:ascii="宋体" w:eastAsia="宋体" w:hAnsi="宋体" w:cs="宋体"/>
                            <w:color w:val="000000"/>
                            <w:sz w:val="21"/>
                          </w:rPr>
                          <w:t>城</w:t>
                        </w:r>
                        <w:proofErr w:type="gramEnd"/>
                        <w:r>
                          <w:rPr>
                            <w:rFonts w:ascii="宋体" w:eastAsia="宋体" w:hAnsi="宋体" w:cs="宋体"/>
                            <w:color w:val="000000"/>
                            <w:sz w:val="21"/>
                          </w:rPr>
                          <w:t>投PPN002</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50,000,000.00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19陕西金融PPN001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19大同煤矿PPN008</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20海</w:t>
                        </w:r>
                        <w:proofErr w:type="gramStart"/>
                        <w:r>
                          <w:rPr>
                            <w:rFonts w:ascii="宋体" w:eastAsia="宋体" w:hAnsi="宋体" w:cs="宋体"/>
                            <w:color w:val="000000"/>
                            <w:sz w:val="21"/>
                          </w:rPr>
                          <w:t>沧</w:t>
                        </w:r>
                        <w:proofErr w:type="gramEnd"/>
                        <w:r>
                          <w:rPr>
                            <w:rFonts w:ascii="宋体" w:eastAsia="宋体" w:hAnsi="宋体" w:cs="宋体"/>
                            <w:color w:val="000000"/>
                            <w:sz w:val="21"/>
                          </w:rPr>
                          <w:t>投资PPN002</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17</w:t>
                        </w:r>
                        <w:proofErr w:type="gramStart"/>
                        <w:r>
                          <w:rPr>
                            <w:rFonts w:ascii="宋体" w:eastAsia="宋体" w:hAnsi="宋体" w:cs="宋体"/>
                            <w:color w:val="000000"/>
                            <w:sz w:val="21"/>
                          </w:rPr>
                          <w:t>象</w:t>
                        </w:r>
                        <w:proofErr w:type="gramEnd"/>
                        <w:r>
                          <w:rPr>
                            <w:rFonts w:ascii="宋体" w:eastAsia="宋体" w:hAnsi="宋体" w:cs="宋体"/>
                            <w:color w:val="000000"/>
                            <w:sz w:val="21"/>
                          </w:rPr>
                          <w:t>屿MTN003</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70,000,000.00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w:t>
                        </w:r>
                        <w:proofErr w:type="gramStart"/>
                        <w:r>
                          <w:rPr>
                            <w:rFonts w:ascii="宋体" w:eastAsia="宋体" w:hAnsi="宋体" w:cs="宋体"/>
                            <w:color w:val="000000"/>
                            <w:sz w:val="21"/>
                          </w:rPr>
                          <w:t>晋能</w:t>
                        </w:r>
                        <w:proofErr w:type="gramEnd"/>
                        <w:r>
                          <w:rPr>
                            <w:rFonts w:ascii="宋体" w:eastAsia="宋体" w:hAnsi="宋体" w:cs="宋体"/>
                            <w:color w:val="000000"/>
                            <w:sz w:val="21"/>
                          </w:rPr>
                          <w:t>PPN001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20闽</w:t>
                        </w:r>
                        <w:proofErr w:type="gramStart"/>
                        <w:r>
                          <w:rPr>
                            <w:rFonts w:ascii="宋体" w:eastAsia="宋体" w:hAnsi="宋体" w:cs="宋体"/>
                            <w:color w:val="000000"/>
                            <w:sz w:val="21"/>
                          </w:rPr>
                          <w:t>漳</w:t>
                        </w:r>
                        <w:proofErr w:type="gramEnd"/>
                        <w:r>
                          <w:rPr>
                            <w:rFonts w:ascii="宋体" w:eastAsia="宋体" w:hAnsi="宋体" w:cs="宋体"/>
                            <w:color w:val="000000"/>
                            <w:sz w:val="21"/>
                          </w:rPr>
                          <w:t>龙MTN001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30,000,000.00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福建漳龙集团有限公司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18宁河西PPN002</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80,000,000.00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20津能源MTN002</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30,000,000.00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20新余城建MTN001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18南电PPN002</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110,000,000.00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w:t>
                        </w:r>
                        <w:proofErr w:type="gramStart"/>
                        <w:r>
                          <w:rPr>
                            <w:rFonts w:ascii="宋体" w:eastAsia="宋体" w:hAnsi="宋体" w:cs="宋体"/>
                            <w:color w:val="000000"/>
                            <w:sz w:val="21"/>
                          </w:rPr>
                          <w:t>阳煤</w:t>
                        </w:r>
                        <w:proofErr w:type="gramEnd"/>
                        <w:r>
                          <w:rPr>
                            <w:rFonts w:ascii="宋体" w:eastAsia="宋体" w:hAnsi="宋体" w:cs="宋体"/>
                            <w:color w:val="000000"/>
                            <w:sz w:val="21"/>
                          </w:rPr>
                          <w:t>PPN005</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19贵州高速MTN001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20云能投MTN004</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w:t>
                        </w:r>
                        <w:proofErr w:type="gramStart"/>
                        <w:r>
                          <w:rPr>
                            <w:rFonts w:ascii="宋体" w:eastAsia="宋体" w:hAnsi="宋体" w:cs="宋体"/>
                            <w:color w:val="000000"/>
                            <w:sz w:val="21"/>
                          </w:rPr>
                          <w:t>汉光谷</w:t>
                        </w:r>
                        <w:proofErr w:type="gramEnd"/>
                        <w:r>
                          <w:rPr>
                            <w:rFonts w:ascii="宋体" w:eastAsia="宋体" w:hAnsi="宋体" w:cs="宋体"/>
                            <w:color w:val="000000"/>
                            <w:sz w:val="21"/>
                          </w:rPr>
                          <w:t>SCP002</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19大同煤矿PPN003</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30,000,000.00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20东湖高新(疫情防控债)PPN001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19大同煤矿MTN004</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20武</w:t>
                        </w:r>
                        <w:proofErr w:type="gramStart"/>
                        <w:r>
                          <w:rPr>
                            <w:rFonts w:ascii="宋体" w:eastAsia="宋体" w:hAnsi="宋体" w:cs="宋体"/>
                            <w:color w:val="000000"/>
                            <w:sz w:val="21"/>
                          </w:rPr>
                          <w:t>夷投资</w:t>
                        </w:r>
                        <w:proofErr w:type="gramEnd"/>
                        <w:r>
                          <w:rPr>
                            <w:rFonts w:ascii="宋体" w:eastAsia="宋体" w:hAnsi="宋体" w:cs="宋体"/>
                            <w:color w:val="000000"/>
                            <w:sz w:val="21"/>
                          </w:rPr>
                          <w:t>MTN002</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18绍兴城投PPN001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w:t>
                        </w:r>
                        <w:proofErr w:type="gramStart"/>
                        <w:r>
                          <w:rPr>
                            <w:rFonts w:ascii="宋体" w:eastAsia="宋体" w:hAnsi="宋体" w:cs="宋体"/>
                            <w:color w:val="000000"/>
                            <w:sz w:val="21"/>
                          </w:rPr>
                          <w:t>阳煤</w:t>
                        </w:r>
                        <w:proofErr w:type="gramEnd"/>
                        <w:r>
                          <w:rPr>
                            <w:rFonts w:ascii="宋体" w:eastAsia="宋体" w:hAnsi="宋体" w:cs="宋体"/>
                            <w:color w:val="000000"/>
                            <w:sz w:val="21"/>
                          </w:rPr>
                          <w:t>PPN011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20三明交建PPN001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bl>
          <w:p w:rsidR="00EA6A87" w:rsidRDefault="00EA6A87">
            <w:pPr>
              <w:pStyle w:val="EMPTYCELLSTYLE"/>
            </w:pPr>
          </w:p>
        </w:tc>
        <w:tc>
          <w:tcPr>
            <w:tcW w:w="1" w:type="dxa"/>
          </w:tcPr>
          <w:p w:rsidR="00EA6A87" w:rsidRDefault="00EA6A87">
            <w:pPr>
              <w:pStyle w:val="EMPTYCELLSTYLE"/>
            </w:pPr>
          </w:p>
        </w:tc>
      </w:tr>
      <w:tr w:rsidR="00EA6A87">
        <w:trPr>
          <w:gridAfter w:val="4"/>
          <w:wAfter w:w="40" w:type="dxa"/>
          <w:trHeight w:val="400"/>
        </w:trPr>
        <w:tc>
          <w:tcPr>
            <w:tcW w:w="1" w:type="dxa"/>
          </w:tcPr>
          <w:p w:rsidR="00EA6A87" w:rsidRDefault="00EA6A87">
            <w:pPr>
              <w:pStyle w:val="EMPTYCELLSTYLE"/>
            </w:pPr>
          </w:p>
        </w:tc>
        <w:tc>
          <w:tcPr>
            <w:tcW w:w="200" w:type="dxa"/>
            <w:gridSpan w:val="4"/>
          </w:tcPr>
          <w:p w:rsidR="00EA6A87" w:rsidRDefault="00EA6A87">
            <w:pPr>
              <w:pStyle w:val="EMPTYCELLSTYLE"/>
            </w:pPr>
          </w:p>
        </w:tc>
        <w:tc>
          <w:tcPr>
            <w:tcW w:w="3200" w:type="dxa"/>
            <w:gridSpan w:val="3"/>
          </w:tcPr>
          <w:p w:rsidR="00EA6A87" w:rsidRDefault="00EA6A87">
            <w:pPr>
              <w:pStyle w:val="EMPTYCELLSTYLE"/>
            </w:pPr>
          </w:p>
        </w:tc>
        <w:tc>
          <w:tcPr>
            <w:tcW w:w="2000" w:type="dxa"/>
            <w:gridSpan w:val="4"/>
            <w:tcMar>
              <w:top w:w="0" w:type="dxa"/>
              <w:left w:w="0" w:type="dxa"/>
              <w:bottom w:w="0" w:type="dxa"/>
              <w:right w:w="0" w:type="dxa"/>
            </w:tcMar>
          </w:tcPr>
          <w:p w:rsidR="00EA6A87" w:rsidRDefault="00262EB3">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EA6A87" w:rsidRDefault="00262EB3">
            <w:pPr>
              <w:jc w:val="left"/>
            </w:pPr>
            <w:r>
              <w:rPr>
                <w:rFonts w:ascii="SansSerif" w:eastAsia="SansSerif" w:hAnsi="SansSerif" w:cs="SansSerif"/>
                <w:color w:val="000000"/>
                <w:sz w:val="18"/>
              </w:rPr>
              <w:t>8</w:t>
            </w:r>
          </w:p>
        </w:tc>
        <w:tc>
          <w:tcPr>
            <w:tcW w:w="3300" w:type="dxa"/>
            <w:gridSpan w:val="6"/>
          </w:tcPr>
          <w:p w:rsidR="00EA6A87" w:rsidRDefault="00EA6A87">
            <w:pPr>
              <w:pStyle w:val="EMPTYCELLSTYLE"/>
            </w:pPr>
          </w:p>
        </w:tc>
        <w:tc>
          <w:tcPr>
            <w:tcW w:w="1" w:type="dxa"/>
          </w:tcPr>
          <w:p w:rsidR="00EA6A87" w:rsidRDefault="00EA6A87">
            <w:pPr>
              <w:pStyle w:val="EMPTYCELLSTYLE"/>
            </w:pPr>
          </w:p>
        </w:tc>
      </w:tr>
      <w:tr w:rsidR="00EA6A87">
        <w:tc>
          <w:tcPr>
            <w:tcW w:w="1" w:type="dxa"/>
          </w:tcPr>
          <w:p w:rsidR="00EA6A87" w:rsidRDefault="00EA6A87">
            <w:pPr>
              <w:pStyle w:val="EMPTYCELLSTYLE"/>
              <w:pageBreakBefore/>
            </w:pPr>
            <w:bookmarkStart w:id="7" w:name="JR_PAGE_ANCHOR_0_8"/>
            <w:bookmarkEnd w:id="7"/>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bottom"/>
          </w:tcPr>
          <w:p w:rsidR="00EA6A87" w:rsidRDefault="00262EB3">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5号净值型理财产品S款2021年第一季度报告</w:t>
            </w: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2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20"/>
        </w:trPr>
        <w:tc>
          <w:tcPr>
            <w:tcW w:w="1" w:type="dxa"/>
          </w:tcPr>
          <w:p w:rsidR="00EA6A87" w:rsidRDefault="00EA6A8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1200"/>
        </w:trPr>
        <w:tc>
          <w:tcPr>
            <w:tcW w:w="1" w:type="dxa"/>
          </w:tcPr>
          <w:p w:rsidR="00EA6A87" w:rsidRDefault="00EA6A8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800"/>
              <w:gridCol w:w="3000"/>
              <w:gridCol w:w="2800"/>
              <w:gridCol w:w="3100"/>
            </w:tblGrid>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20连云城建MTN001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兴业银行股份有限公司</w:t>
                        </w:r>
                      </w:p>
                    </w:tc>
                  </w:tr>
                </w:tbl>
                <w:p w:rsidR="00EA6A87" w:rsidRDefault="00EA6A87">
                  <w:pPr>
                    <w:pStyle w:val="EMPTYCELLSTYLE"/>
                  </w:pPr>
                </w:p>
              </w:tc>
            </w:tr>
            <w:tr w:rsidR="00EA6A87">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780"/>
                    <w:gridCol w:w="40"/>
                  </w:tblGrid>
                  <w:tr w:rsidR="00EA6A87">
                    <w:trPr>
                      <w:trHeight w:val="600"/>
                    </w:trPr>
                    <w:tc>
                      <w:tcPr>
                        <w:tcW w:w="17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9K219061</w:t>
                        </w:r>
                      </w:p>
                    </w:tc>
                    <w:tc>
                      <w:tcPr>
                        <w:tcW w:w="20" w:type="dxa"/>
                      </w:tcPr>
                      <w:p w:rsidR="00EA6A87" w:rsidRDefault="00EA6A87">
                        <w:pPr>
                          <w:pStyle w:val="EMPTYCELLSTYLE"/>
                        </w:pP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19宜城F1</w:t>
                        </w:r>
                      </w:p>
                    </w:tc>
                  </w:tr>
                </w:tbl>
                <w:p w:rsidR="00EA6A87" w:rsidRDefault="00EA6A8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800"/>
                  </w:tblGrid>
                  <w:tr w:rsidR="00EA6A87">
                    <w:trPr>
                      <w:trHeight w:val="600"/>
                    </w:trPr>
                    <w:tc>
                      <w:tcPr>
                        <w:tcW w:w="28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50,000,000.00</w:t>
                        </w:r>
                      </w:p>
                    </w:tc>
                  </w:tr>
                </w:tbl>
                <w:p w:rsidR="00EA6A87" w:rsidRDefault="00EA6A8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100"/>
                  </w:tblGrid>
                  <w:tr w:rsidR="00EA6A87">
                    <w:trPr>
                      <w:trHeight w:val="600"/>
                    </w:trPr>
                    <w:tc>
                      <w:tcPr>
                        <w:tcW w:w="31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宜兴市城市发展投资有限公司</w:t>
                        </w:r>
                      </w:p>
                    </w:tc>
                  </w:tr>
                </w:tbl>
                <w:p w:rsidR="00EA6A87" w:rsidRDefault="00EA6A87">
                  <w:pPr>
                    <w:pStyle w:val="EMPTYCELLSTYLE"/>
                  </w:pPr>
                </w:p>
              </w:tc>
            </w:tr>
          </w:tbl>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20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val="40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10500" w:type="dxa"/>
            <w:gridSpan w:val="15"/>
            <w:tcMar>
              <w:top w:w="0" w:type="dxa"/>
              <w:left w:w="0" w:type="dxa"/>
              <w:bottom w:w="0" w:type="dxa"/>
              <w:right w:w="0" w:type="dxa"/>
            </w:tcMar>
          </w:tcPr>
          <w:p w:rsidR="00EA6A87" w:rsidRDefault="00262EB3">
            <w:r>
              <w:rPr>
                <w:rFonts w:ascii="宋体" w:eastAsia="宋体" w:hAnsi="宋体" w:cs="宋体"/>
                <w:color w:val="000000"/>
              </w:rPr>
              <w:t>5.2 理财产品在报告期内其他关联交易</w:t>
            </w: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600"/>
        </w:trPr>
        <w:tc>
          <w:tcPr>
            <w:tcW w:w="1" w:type="dxa"/>
          </w:tcPr>
          <w:p w:rsidR="00EA6A87" w:rsidRDefault="00EA6A8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EA6A87">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EA6A87">
                    <w:trPr>
                      <w:trHeight w:val="600"/>
                    </w:trPr>
                    <w:tc>
                      <w:tcPr>
                        <w:tcW w:w="158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产品代码</w:t>
                        </w:r>
                      </w:p>
                    </w:tc>
                    <w:tc>
                      <w:tcPr>
                        <w:tcW w:w="20" w:type="dxa"/>
                      </w:tcPr>
                      <w:p w:rsidR="00EA6A87" w:rsidRDefault="00EA6A87">
                        <w:pPr>
                          <w:pStyle w:val="EMPTYCELLSTYLE"/>
                        </w:pPr>
                      </w:p>
                    </w:tc>
                  </w:tr>
                </w:tbl>
                <w:p w:rsidR="00EA6A87" w:rsidRDefault="00EA6A8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EA6A87">
                    <w:trPr>
                      <w:trHeight w:val="600"/>
                    </w:trPr>
                    <w:tc>
                      <w:tcPr>
                        <w:tcW w:w="22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资产名称</w:t>
                        </w:r>
                      </w:p>
                    </w:tc>
                  </w:tr>
                </w:tbl>
                <w:p w:rsidR="00EA6A87" w:rsidRDefault="00EA6A8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EA6A87">
                    <w:trPr>
                      <w:trHeight w:val="600"/>
                    </w:trPr>
                    <w:tc>
                      <w:tcPr>
                        <w:tcW w:w="22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资产面额（元）</w:t>
                        </w:r>
                      </w:p>
                    </w:tc>
                  </w:tr>
                </w:tbl>
                <w:p w:rsidR="00EA6A87" w:rsidRDefault="00EA6A87">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EA6A87">
                    <w:trPr>
                      <w:trHeight w:val="600"/>
                    </w:trPr>
                    <w:tc>
                      <w:tcPr>
                        <w:tcW w:w="18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交易类型</w:t>
                        </w:r>
                      </w:p>
                    </w:tc>
                  </w:tr>
                </w:tbl>
                <w:p w:rsidR="00EA6A87" w:rsidRDefault="00EA6A87">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900"/>
                  </w:tblGrid>
                  <w:tr w:rsidR="00EA6A87">
                    <w:trPr>
                      <w:trHeight w:val="600"/>
                    </w:trPr>
                    <w:tc>
                      <w:tcPr>
                        <w:tcW w:w="29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关联方名称</w:t>
                        </w:r>
                      </w:p>
                    </w:tc>
                  </w:tr>
                </w:tbl>
                <w:p w:rsidR="00EA6A87" w:rsidRDefault="00EA6A87">
                  <w:pPr>
                    <w:pStyle w:val="EMPTYCELLSTYLE"/>
                  </w:pPr>
                </w:p>
              </w:tc>
            </w:tr>
          </w:tbl>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600"/>
        </w:trPr>
        <w:tc>
          <w:tcPr>
            <w:tcW w:w="1" w:type="dxa"/>
          </w:tcPr>
          <w:p w:rsidR="00EA6A87" w:rsidRDefault="00EA6A8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EA6A87">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EA6A87">
                    <w:trPr>
                      <w:trHeight w:val="600"/>
                    </w:trPr>
                    <w:tc>
                      <w:tcPr>
                        <w:tcW w:w="106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无</w:t>
                        </w:r>
                      </w:p>
                    </w:tc>
                    <w:tc>
                      <w:tcPr>
                        <w:tcW w:w="20" w:type="dxa"/>
                      </w:tcPr>
                      <w:p w:rsidR="00EA6A87" w:rsidRDefault="00EA6A87">
                        <w:pPr>
                          <w:pStyle w:val="EMPTYCELLSTYLE"/>
                        </w:pPr>
                      </w:p>
                    </w:tc>
                  </w:tr>
                </w:tbl>
                <w:p w:rsidR="00EA6A87" w:rsidRDefault="00EA6A87">
                  <w:pPr>
                    <w:pStyle w:val="EMPTYCELLSTYLE"/>
                  </w:pPr>
                </w:p>
              </w:tc>
            </w:tr>
          </w:tbl>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20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val="40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10500" w:type="dxa"/>
            <w:gridSpan w:val="15"/>
            <w:tcMar>
              <w:top w:w="0" w:type="dxa"/>
              <w:left w:w="0" w:type="dxa"/>
              <w:bottom w:w="0" w:type="dxa"/>
              <w:right w:w="0" w:type="dxa"/>
            </w:tcMar>
          </w:tcPr>
          <w:p w:rsidR="00EA6A87" w:rsidRDefault="00262EB3">
            <w:r>
              <w:rPr>
                <w:rFonts w:ascii="宋体" w:eastAsia="宋体" w:hAnsi="宋体" w:cs="宋体"/>
                <w:color w:val="000000"/>
              </w:rPr>
              <w:t>5.3 理财产品在报告期内中的重大关联交易</w:t>
            </w: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600"/>
        </w:trPr>
        <w:tc>
          <w:tcPr>
            <w:tcW w:w="1" w:type="dxa"/>
          </w:tcPr>
          <w:p w:rsidR="00EA6A87" w:rsidRDefault="00EA6A8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600"/>
              <w:gridCol w:w="2200"/>
              <w:gridCol w:w="2200"/>
              <w:gridCol w:w="1800"/>
              <w:gridCol w:w="2900"/>
            </w:tblGrid>
            <w:tr w:rsidR="00EA6A87">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4A0"/>
                  </w:tblPr>
                  <w:tblGrid>
                    <w:gridCol w:w="1580"/>
                    <w:gridCol w:w="40"/>
                  </w:tblGrid>
                  <w:tr w:rsidR="00EA6A87">
                    <w:trPr>
                      <w:trHeight w:val="600"/>
                    </w:trPr>
                    <w:tc>
                      <w:tcPr>
                        <w:tcW w:w="158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产品代码</w:t>
                        </w:r>
                      </w:p>
                    </w:tc>
                    <w:tc>
                      <w:tcPr>
                        <w:tcW w:w="20" w:type="dxa"/>
                      </w:tcPr>
                      <w:p w:rsidR="00EA6A87" w:rsidRDefault="00EA6A87">
                        <w:pPr>
                          <w:pStyle w:val="EMPTYCELLSTYLE"/>
                        </w:pPr>
                      </w:p>
                    </w:tc>
                  </w:tr>
                </w:tbl>
                <w:p w:rsidR="00EA6A87" w:rsidRDefault="00EA6A8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EA6A87">
                    <w:trPr>
                      <w:trHeight w:val="600"/>
                    </w:trPr>
                    <w:tc>
                      <w:tcPr>
                        <w:tcW w:w="22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资产名称</w:t>
                        </w:r>
                      </w:p>
                    </w:tc>
                  </w:tr>
                </w:tbl>
                <w:p w:rsidR="00EA6A87" w:rsidRDefault="00EA6A8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EA6A87">
                    <w:trPr>
                      <w:trHeight w:val="600"/>
                    </w:trPr>
                    <w:tc>
                      <w:tcPr>
                        <w:tcW w:w="22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资产面额（元）</w:t>
                        </w:r>
                      </w:p>
                    </w:tc>
                  </w:tr>
                </w:tbl>
                <w:p w:rsidR="00EA6A87" w:rsidRDefault="00EA6A87">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EA6A87">
                    <w:trPr>
                      <w:trHeight w:val="600"/>
                    </w:trPr>
                    <w:tc>
                      <w:tcPr>
                        <w:tcW w:w="18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交易类型</w:t>
                        </w:r>
                      </w:p>
                    </w:tc>
                  </w:tr>
                </w:tbl>
                <w:p w:rsidR="00EA6A87" w:rsidRDefault="00EA6A87">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4A0"/>
                  </w:tblPr>
                  <w:tblGrid>
                    <w:gridCol w:w="2900"/>
                  </w:tblGrid>
                  <w:tr w:rsidR="00EA6A87">
                    <w:trPr>
                      <w:trHeight w:val="600"/>
                    </w:trPr>
                    <w:tc>
                      <w:tcPr>
                        <w:tcW w:w="2900" w:type="dxa"/>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关联方名称</w:t>
                        </w:r>
                      </w:p>
                    </w:tc>
                  </w:tr>
                </w:tbl>
                <w:p w:rsidR="00EA6A87" w:rsidRDefault="00EA6A87">
                  <w:pPr>
                    <w:pStyle w:val="EMPTYCELLSTYLE"/>
                  </w:pPr>
                </w:p>
              </w:tc>
            </w:tr>
          </w:tbl>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600"/>
        </w:trPr>
        <w:tc>
          <w:tcPr>
            <w:tcW w:w="1" w:type="dxa"/>
          </w:tcPr>
          <w:p w:rsidR="00EA6A87" w:rsidRDefault="00EA6A8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4A0"/>
            </w:tblPr>
            <w:tblGrid>
              <w:gridCol w:w="10700"/>
            </w:tblGrid>
            <w:tr w:rsidR="00EA6A87">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4A0"/>
                  </w:tblPr>
                  <w:tblGrid>
                    <w:gridCol w:w="10680"/>
                    <w:gridCol w:w="40"/>
                  </w:tblGrid>
                  <w:tr w:rsidR="00EA6A87">
                    <w:trPr>
                      <w:trHeight w:val="600"/>
                    </w:trPr>
                    <w:tc>
                      <w:tcPr>
                        <w:tcW w:w="1068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无</w:t>
                        </w:r>
                      </w:p>
                    </w:tc>
                    <w:tc>
                      <w:tcPr>
                        <w:tcW w:w="20" w:type="dxa"/>
                      </w:tcPr>
                      <w:p w:rsidR="00EA6A87" w:rsidRDefault="00EA6A87">
                        <w:pPr>
                          <w:pStyle w:val="EMPTYCELLSTYLE"/>
                        </w:pPr>
                      </w:p>
                    </w:tc>
                  </w:tr>
                </w:tbl>
                <w:p w:rsidR="00EA6A87" w:rsidRDefault="00EA6A87">
                  <w:pPr>
                    <w:pStyle w:val="EMPTYCELLSTYLE"/>
                  </w:pPr>
                </w:p>
              </w:tc>
            </w:tr>
          </w:tbl>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16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val="400"/>
        </w:trPr>
        <w:tc>
          <w:tcPr>
            <w:tcW w:w="1" w:type="dxa"/>
          </w:tcPr>
          <w:p w:rsidR="00EA6A87" w:rsidRDefault="00EA6A87">
            <w:pPr>
              <w:pStyle w:val="EMPTYCELLSTYLE"/>
            </w:pPr>
          </w:p>
        </w:tc>
        <w:tc>
          <w:tcPr>
            <w:tcW w:w="40" w:type="dxa"/>
            <w:gridSpan w:val="2"/>
          </w:tcPr>
          <w:p w:rsidR="00EA6A87" w:rsidRDefault="00EA6A87">
            <w:pPr>
              <w:pStyle w:val="EMPTYCELLSTYLE"/>
            </w:pPr>
          </w:p>
        </w:tc>
        <w:tc>
          <w:tcPr>
            <w:tcW w:w="10700" w:type="dxa"/>
            <w:gridSpan w:val="21"/>
            <w:tcMar>
              <w:top w:w="0" w:type="dxa"/>
              <w:left w:w="0" w:type="dxa"/>
              <w:bottom w:w="0" w:type="dxa"/>
              <w:right w:w="0" w:type="dxa"/>
            </w:tcMar>
            <w:vAlign w:val="center"/>
          </w:tcPr>
          <w:p w:rsidR="00EA6A87" w:rsidRDefault="00262EB3">
            <w:pPr>
              <w:jc w:val="left"/>
            </w:pPr>
            <w:r>
              <w:rPr>
                <w:rFonts w:ascii="宋体" w:eastAsia="宋体" w:hAnsi="宋体" w:cs="宋体"/>
                <w:b/>
                <w:color w:val="000000"/>
                <w:sz w:val="21"/>
              </w:rPr>
              <w:t>6.投资账户信息</w:t>
            </w:r>
          </w:p>
        </w:tc>
        <w:tc>
          <w:tcPr>
            <w:tcW w:w="1" w:type="dxa"/>
          </w:tcPr>
          <w:p w:rsidR="00EA6A87" w:rsidRDefault="00EA6A87">
            <w:pPr>
              <w:pStyle w:val="EMPTYCELLSTYLE"/>
            </w:pPr>
          </w:p>
        </w:tc>
      </w:tr>
      <w:tr w:rsidR="00EA6A87">
        <w:trPr>
          <w:trHeight w:hRule="exact" w:val="1200"/>
        </w:trPr>
        <w:tc>
          <w:tcPr>
            <w:tcW w:w="1" w:type="dxa"/>
          </w:tcPr>
          <w:p w:rsidR="00EA6A87" w:rsidRDefault="00EA6A87">
            <w:pPr>
              <w:pStyle w:val="EMPTYCELLSTYLE"/>
            </w:pPr>
          </w:p>
        </w:tc>
        <w:tc>
          <w:tcPr>
            <w:tcW w:w="40" w:type="dxa"/>
            <w:gridSpan w:val="2"/>
          </w:tcPr>
          <w:p w:rsidR="00EA6A87" w:rsidRDefault="00EA6A87">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000"/>
              <w:gridCol w:w="2200"/>
              <w:gridCol w:w="3000"/>
              <w:gridCol w:w="4500"/>
            </w:tblGrid>
            <w:tr w:rsidR="00EA6A87">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序号</w:t>
                        </w:r>
                      </w:p>
                    </w:tc>
                  </w:tr>
                </w:tbl>
                <w:p w:rsidR="00EA6A87" w:rsidRDefault="00EA6A87">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EA6A87">
                    <w:trPr>
                      <w:trHeight w:val="600"/>
                    </w:trPr>
                    <w:tc>
                      <w:tcPr>
                        <w:tcW w:w="22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账户类型</w:t>
                        </w:r>
                      </w:p>
                    </w:tc>
                  </w:tr>
                </w:tbl>
                <w:p w:rsidR="00EA6A87" w:rsidRDefault="00EA6A87">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账户编号</w:t>
                        </w:r>
                      </w:p>
                    </w:tc>
                  </w:tr>
                </w:tbl>
                <w:p w:rsidR="00EA6A87" w:rsidRDefault="00EA6A87">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EA6A87">
                    <w:trPr>
                      <w:trHeight w:val="600"/>
                    </w:trPr>
                    <w:tc>
                      <w:tcPr>
                        <w:tcW w:w="4500" w:type="dxa"/>
                        <w:shd w:val="clear" w:color="auto" w:fill="BFBFBF"/>
                        <w:tcMar>
                          <w:top w:w="0" w:type="dxa"/>
                          <w:left w:w="0" w:type="dxa"/>
                          <w:bottom w:w="0" w:type="dxa"/>
                          <w:right w:w="0" w:type="dxa"/>
                        </w:tcMar>
                        <w:vAlign w:val="center"/>
                      </w:tcPr>
                      <w:p w:rsidR="00EA6A87" w:rsidRDefault="00262EB3">
                        <w:pPr>
                          <w:jc w:val="center"/>
                        </w:pPr>
                        <w:r>
                          <w:rPr>
                            <w:rFonts w:ascii="宋体" w:eastAsia="宋体" w:hAnsi="宋体" w:cs="宋体"/>
                            <w:b/>
                            <w:color w:val="000000"/>
                            <w:sz w:val="21"/>
                          </w:rPr>
                          <w:t>账户名称</w:t>
                        </w:r>
                      </w:p>
                    </w:tc>
                  </w:tr>
                </w:tbl>
                <w:p w:rsidR="00EA6A87" w:rsidRDefault="00EA6A87">
                  <w:pPr>
                    <w:pStyle w:val="EMPTYCELLSTYLE"/>
                  </w:pPr>
                </w:p>
              </w:tc>
            </w:tr>
            <w:tr w:rsidR="00EA6A87">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1000"/>
                  </w:tblGrid>
                  <w:tr w:rsidR="00EA6A87">
                    <w:trPr>
                      <w:trHeight w:val="600"/>
                    </w:trPr>
                    <w:tc>
                      <w:tcPr>
                        <w:tcW w:w="1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1</w:t>
                        </w:r>
                      </w:p>
                    </w:tc>
                  </w:tr>
                </w:tbl>
                <w:p w:rsidR="00EA6A87" w:rsidRDefault="00EA6A87">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2200"/>
                  </w:tblGrid>
                  <w:tr w:rsidR="00EA6A87">
                    <w:trPr>
                      <w:trHeight w:val="600"/>
                    </w:trPr>
                    <w:tc>
                      <w:tcPr>
                        <w:tcW w:w="22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托管账户</w:t>
                        </w:r>
                      </w:p>
                    </w:tc>
                  </w:tr>
                </w:tbl>
                <w:p w:rsidR="00EA6A87" w:rsidRDefault="00EA6A87">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4A0"/>
                  </w:tblPr>
                  <w:tblGrid>
                    <w:gridCol w:w="3000"/>
                  </w:tblGrid>
                  <w:tr w:rsidR="00EA6A87">
                    <w:trPr>
                      <w:trHeight w:val="600"/>
                    </w:trPr>
                    <w:tc>
                      <w:tcPr>
                        <w:tcW w:w="30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051010100100901018</w:t>
                        </w:r>
                      </w:p>
                    </w:tc>
                  </w:tr>
                </w:tbl>
                <w:p w:rsidR="00EA6A87" w:rsidRDefault="00EA6A87">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4500"/>
                  </w:tblGrid>
                  <w:tr w:rsidR="00EA6A87">
                    <w:trPr>
                      <w:trHeight w:val="600"/>
                    </w:trPr>
                    <w:tc>
                      <w:tcPr>
                        <w:tcW w:w="4500" w:type="dxa"/>
                        <w:tcMar>
                          <w:top w:w="0" w:type="dxa"/>
                          <w:left w:w="0" w:type="dxa"/>
                          <w:bottom w:w="0" w:type="dxa"/>
                          <w:right w:w="0" w:type="dxa"/>
                        </w:tcMar>
                        <w:vAlign w:val="center"/>
                      </w:tcPr>
                      <w:p w:rsidR="00EA6A87" w:rsidRDefault="00262EB3">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5号S款</w:t>
                        </w:r>
                      </w:p>
                    </w:tc>
                  </w:tr>
                </w:tbl>
                <w:p w:rsidR="00EA6A87" w:rsidRDefault="00EA6A87">
                  <w:pPr>
                    <w:pStyle w:val="EMPTYCELLSTYLE"/>
                  </w:pPr>
                </w:p>
              </w:tc>
            </w:tr>
          </w:tbl>
          <w:p w:rsidR="00EA6A87" w:rsidRDefault="00EA6A87">
            <w:pPr>
              <w:pStyle w:val="EMPTYCELLSTYLE"/>
            </w:pPr>
          </w:p>
        </w:tc>
        <w:tc>
          <w:tcPr>
            <w:tcW w:w="1" w:type="dxa"/>
          </w:tcPr>
          <w:p w:rsidR="00EA6A87" w:rsidRDefault="00EA6A87">
            <w:pPr>
              <w:pStyle w:val="EMPTYCELLSTYLE"/>
            </w:pPr>
          </w:p>
        </w:tc>
      </w:tr>
      <w:tr w:rsidR="00EA6A87">
        <w:trPr>
          <w:trHeight w:hRule="exact" w:val="96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vAlign w:val="center"/>
          </w:tcPr>
          <w:p w:rsidR="00EA6A87" w:rsidRDefault="00262EB3">
            <w:pPr>
              <w:jc w:val="right"/>
            </w:pPr>
            <w:r>
              <w:rPr>
                <w:rFonts w:ascii="宋体" w:eastAsia="宋体" w:hAnsi="宋体" w:cs="宋体"/>
                <w:color w:val="000000"/>
                <w:sz w:val="21"/>
              </w:rPr>
              <w:t>兴业银行股份有限公司</w:t>
            </w: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val="400"/>
        </w:trPr>
        <w:tc>
          <w:tcPr>
            <w:tcW w:w="1" w:type="dxa"/>
          </w:tcPr>
          <w:p w:rsidR="00EA6A87" w:rsidRDefault="00EA6A87">
            <w:pPr>
              <w:pStyle w:val="EMPTYCELLSTYLE"/>
            </w:pPr>
          </w:p>
        </w:tc>
        <w:tc>
          <w:tcPr>
            <w:tcW w:w="10700" w:type="dxa"/>
            <w:gridSpan w:val="19"/>
            <w:tcMar>
              <w:top w:w="0" w:type="dxa"/>
              <w:left w:w="0" w:type="dxa"/>
              <w:bottom w:w="0" w:type="dxa"/>
              <w:right w:w="0" w:type="dxa"/>
            </w:tcMar>
          </w:tcPr>
          <w:p w:rsidR="00EA6A87" w:rsidRDefault="00262EB3">
            <w:pPr>
              <w:jc w:val="right"/>
            </w:pPr>
            <w:r>
              <w:rPr>
                <w:rFonts w:ascii="宋体" w:eastAsia="宋体" w:hAnsi="宋体" w:cs="宋体"/>
                <w:color w:val="000000"/>
                <w:sz w:val="21"/>
              </w:rPr>
              <w:t>2021年4月22日</w:t>
            </w: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hRule="exact" w:val="648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3200" w:type="dxa"/>
            <w:gridSpan w:val="3"/>
          </w:tcPr>
          <w:p w:rsidR="00EA6A87" w:rsidRDefault="00EA6A87">
            <w:pPr>
              <w:pStyle w:val="EMPTYCELLSTYLE"/>
            </w:pPr>
          </w:p>
        </w:tc>
        <w:tc>
          <w:tcPr>
            <w:tcW w:w="2000" w:type="dxa"/>
            <w:gridSpan w:val="4"/>
          </w:tcPr>
          <w:p w:rsidR="00EA6A87" w:rsidRDefault="00EA6A87">
            <w:pPr>
              <w:pStyle w:val="EMPTYCELLSTYLE"/>
            </w:pPr>
          </w:p>
        </w:tc>
        <w:tc>
          <w:tcPr>
            <w:tcW w:w="2000" w:type="dxa"/>
            <w:gridSpan w:val="2"/>
          </w:tcPr>
          <w:p w:rsidR="00EA6A87" w:rsidRDefault="00EA6A87">
            <w:pPr>
              <w:pStyle w:val="EMPTYCELLSTYLE"/>
            </w:pPr>
          </w:p>
        </w:tc>
        <w:tc>
          <w:tcPr>
            <w:tcW w:w="3300" w:type="dxa"/>
            <w:gridSpan w:val="6"/>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r w:rsidR="00EA6A87">
        <w:trPr>
          <w:trHeight w:val="400"/>
        </w:trPr>
        <w:tc>
          <w:tcPr>
            <w:tcW w:w="1" w:type="dxa"/>
          </w:tcPr>
          <w:p w:rsidR="00EA6A87" w:rsidRDefault="00EA6A87">
            <w:pPr>
              <w:pStyle w:val="EMPTYCELLSTYLE"/>
            </w:pPr>
          </w:p>
        </w:tc>
        <w:tc>
          <w:tcPr>
            <w:tcW w:w="40" w:type="dxa"/>
            <w:gridSpan w:val="2"/>
          </w:tcPr>
          <w:p w:rsidR="00EA6A87" w:rsidRDefault="00EA6A87">
            <w:pPr>
              <w:pStyle w:val="EMPTYCELLSTYLE"/>
            </w:pPr>
          </w:p>
        </w:tc>
        <w:tc>
          <w:tcPr>
            <w:tcW w:w="160" w:type="dxa"/>
            <w:gridSpan w:val="2"/>
          </w:tcPr>
          <w:p w:rsidR="00EA6A87" w:rsidRDefault="00EA6A87">
            <w:pPr>
              <w:pStyle w:val="EMPTYCELLSTYLE"/>
            </w:pPr>
          </w:p>
        </w:tc>
        <w:tc>
          <w:tcPr>
            <w:tcW w:w="3200" w:type="dxa"/>
            <w:gridSpan w:val="3"/>
          </w:tcPr>
          <w:p w:rsidR="00EA6A87" w:rsidRDefault="00EA6A87">
            <w:pPr>
              <w:pStyle w:val="EMPTYCELLSTYLE"/>
            </w:pPr>
          </w:p>
        </w:tc>
        <w:tc>
          <w:tcPr>
            <w:tcW w:w="2000" w:type="dxa"/>
            <w:gridSpan w:val="4"/>
            <w:tcMar>
              <w:top w:w="0" w:type="dxa"/>
              <w:left w:w="0" w:type="dxa"/>
              <w:bottom w:w="0" w:type="dxa"/>
              <w:right w:w="0" w:type="dxa"/>
            </w:tcMar>
          </w:tcPr>
          <w:p w:rsidR="00EA6A87" w:rsidRDefault="00262EB3">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EA6A87" w:rsidRDefault="00262EB3">
            <w:pPr>
              <w:jc w:val="left"/>
            </w:pPr>
            <w:r>
              <w:rPr>
                <w:rFonts w:ascii="SansSerif" w:eastAsia="SansSerif" w:hAnsi="SansSerif" w:cs="SansSerif"/>
                <w:color w:val="000000"/>
                <w:sz w:val="18"/>
              </w:rPr>
              <w:t>8</w:t>
            </w:r>
          </w:p>
        </w:tc>
        <w:tc>
          <w:tcPr>
            <w:tcW w:w="3300" w:type="dxa"/>
            <w:gridSpan w:val="6"/>
          </w:tcPr>
          <w:p w:rsidR="00EA6A87" w:rsidRDefault="00EA6A87">
            <w:pPr>
              <w:pStyle w:val="EMPTYCELLSTYLE"/>
            </w:pPr>
          </w:p>
        </w:tc>
        <w:tc>
          <w:tcPr>
            <w:tcW w:w="40" w:type="dxa"/>
            <w:gridSpan w:val="4"/>
          </w:tcPr>
          <w:p w:rsidR="00EA6A87" w:rsidRDefault="00EA6A87">
            <w:pPr>
              <w:pStyle w:val="EMPTYCELLSTYLE"/>
            </w:pPr>
          </w:p>
        </w:tc>
        <w:tc>
          <w:tcPr>
            <w:tcW w:w="1" w:type="dxa"/>
          </w:tcPr>
          <w:p w:rsidR="00EA6A87" w:rsidRDefault="00EA6A87">
            <w:pPr>
              <w:pStyle w:val="EMPTYCELLSTYLE"/>
            </w:pPr>
          </w:p>
        </w:tc>
      </w:tr>
    </w:tbl>
    <w:p w:rsidR="00262EB3" w:rsidRDefault="00262EB3"/>
    <w:sectPr w:rsidR="00262EB3" w:rsidSect="00EA6A87">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C3" w:rsidRDefault="008A64C3" w:rsidP="004F39DE">
      <w:r>
        <w:separator/>
      </w:r>
    </w:p>
  </w:endnote>
  <w:endnote w:type="continuationSeparator" w:id="0">
    <w:p w:rsidR="008A64C3" w:rsidRDefault="008A64C3" w:rsidP="004F3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C3" w:rsidRDefault="008A64C3" w:rsidP="004F39DE">
      <w:r>
        <w:separator/>
      </w:r>
    </w:p>
  </w:footnote>
  <w:footnote w:type="continuationSeparator" w:id="0">
    <w:p w:rsidR="008A64C3" w:rsidRDefault="008A64C3" w:rsidP="004F39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5122"/>
  </w:hdrShapeDefaults>
  <w:footnotePr>
    <w:footnote w:id="-1"/>
    <w:footnote w:id="0"/>
  </w:footnotePr>
  <w:endnotePr>
    <w:endnote w:id="-1"/>
    <w:endnote w:id="0"/>
  </w:endnotePr>
  <w:compat>
    <w:useFELayout/>
  </w:compat>
  <w:rsids>
    <w:rsidRoot w:val="00EA6A87"/>
    <w:rsid w:val="0019374E"/>
    <w:rsid w:val="00262EB3"/>
    <w:rsid w:val="004F39DE"/>
    <w:rsid w:val="008A64C3"/>
    <w:rsid w:val="009C6E8A"/>
    <w:rsid w:val="00EA6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EA6A87"/>
    <w:rPr>
      <w:rFonts w:ascii="SansSerif" w:eastAsia="SansSerif" w:hAnsi="SansSerif" w:cs="SansSerif"/>
      <w:color w:val="000000"/>
      <w:sz w:val="1"/>
    </w:rPr>
  </w:style>
  <w:style w:type="paragraph" w:customStyle="1" w:styleId="TableTH">
    <w:name w:val="Table_TH"/>
    <w:qFormat/>
    <w:rsid w:val="00EA6A87"/>
    <w:rPr>
      <w:rFonts w:ascii="SansSerif" w:eastAsia="SansSerif" w:hAnsi="SansSerif" w:cs="SansSerif"/>
      <w:color w:val="000000"/>
    </w:rPr>
  </w:style>
  <w:style w:type="paragraph" w:customStyle="1" w:styleId="TableCH">
    <w:name w:val="Table_CH"/>
    <w:qFormat/>
    <w:rsid w:val="00EA6A87"/>
    <w:rPr>
      <w:rFonts w:ascii="SansSerif" w:eastAsia="SansSerif" w:hAnsi="SansSerif" w:cs="SansSerif"/>
      <w:color w:val="000000"/>
    </w:rPr>
  </w:style>
  <w:style w:type="paragraph" w:customStyle="1" w:styleId="TableTD">
    <w:name w:val="Table_TD"/>
    <w:qFormat/>
    <w:rsid w:val="00EA6A87"/>
    <w:rPr>
      <w:rFonts w:ascii="SansSerif" w:eastAsia="SansSerif" w:hAnsi="SansSerif" w:cs="SansSerif"/>
      <w:color w:val="000000"/>
    </w:rPr>
  </w:style>
  <w:style w:type="paragraph" w:customStyle="1" w:styleId="TableCD">
    <w:name w:val="Table_CD"/>
    <w:qFormat/>
    <w:rsid w:val="00EA6A87"/>
    <w:rPr>
      <w:rFonts w:ascii="SansSerif" w:eastAsia="SansSerif" w:hAnsi="SansSerif" w:cs="SansSerif"/>
      <w:color w:val="000000"/>
    </w:rPr>
  </w:style>
  <w:style w:type="paragraph" w:customStyle="1" w:styleId="Table3TH">
    <w:name w:val="Table 3_TH"/>
    <w:qFormat/>
    <w:rsid w:val="00EA6A87"/>
    <w:rPr>
      <w:rFonts w:ascii="SansSerif" w:eastAsia="SansSerif" w:hAnsi="SansSerif" w:cs="SansSerif"/>
      <w:color w:val="000000"/>
    </w:rPr>
  </w:style>
  <w:style w:type="paragraph" w:customStyle="1" w:styleId="Table3CH">
    <w:name w:val="Table 3_CH"/>
    <w:qFormat/>
    <w:rsid w:val="00EA6A87"/>
    <w:rPr>
      <w:rFonts w:ascii="SansSerif" w:eastAsia="SansSerif" w:hAnsi="SansSerif" w:cs="SansSerif"/>
      <w:color w:val="000000"/>
    </w:rPr>
  </w:style>
  <w:style w:type="paragraph" w:customStyle="1" w:styleId="Table3TD">
    <w:name w:val="Table 3_TD"/>
    <w:qFormat/>
    <w:rsid w:val="00EA6A87"/>
    <w:rPr>
      <w:rFonts w:ascii="SansSerif" w:eastAsia="SansSerif" w:hAnsi="SansSerif" w:cs="SansSerif"/>
      <w:color w:val="000000"/>
    </w:rPr>
  </w:style>
  <w:style w:type="paragraph" w:customStyle="1" w:styleId="Table4TH">
    <w:name w:val="Table 4_TH"/>
    <w:qFormat/>
    <w:rsid w:val="00EA6A87"/>
    <w:rPr>
      <w:rFonts w:ascii="SansSerif" w:eastAsia="SansSerif" w:hAnsi="SansSerif" w:cs="SansSerif"/>
      <w:color w:val="000000"/>
    </w:rPr>
  </w:style>
  <w:style w:type="paragraph" w:customStyle="1" w:styleId="Table4CH">
    <w:name w:val="Table 4_CH"/>
    <w:qFormat/>
    <w:rsid w:val="00EA6A87"/>
    <w:rPr>
      <w:rFonts w:ascii="SansSerif" w:eastAsia="SansSerif" w:hAnsi="SansSerif" w:cs="SansSerif"/>
      <w:color w:val="000000"/>
    </w:rPr>
  </w:style>
  <w:style w:type="paragraph" w:customStyle="1" w:styleId="Table4TD">
    <w:name w:val="Table 4_TD"/>
    <w:qFormat/>
    <w:rsid w:val="00EA6A87"/>
    <w:rPr>
      <w:rFonts w:ascii="SansSerif" w:eastAsia="SansSerif" w:hAnsi="SansSerif" w:cs="SansSerif"/>
      <w:color w:val="000000"/>
    </w:rPr>
  </w:style>
  <w:style w:type="paragraph" w:customStyle="1" w:styleId="Table1TH">
    <w:name w:val="Table 1_TH"/>
    <w:qFormat/>
    <w:rsid w:val="00EA6A87"/>
    <w:rPr>
      <w:rFonts w:ascii="SansSerif" w:eastAsia="SansSerif" w:hAnsi="SansSerif" w:cs="SansSerif"/>
      <w:color w:val="000000"/>
    </w:rPr>
  </w:style>
  <w:style w:type="paragraph" w:customStyle="1" w:styleId="Table1CH">
    <w:name w:val="Table 1_CH"/>
    <w:qFormat/>
    <w:rsid w:val="00EA6A87"/>
    <w:rPr>
      <w:rFonts w:ascii="SansSerif" w:eastAsia="SansSerif" w:hAnsi="SansSerif" w:cs="SansSerif"/>
      <w:color w:val="000000"/>
    </w:rPr>
  </w:style>
  <w:style w:type="paragraph" w:customStyle="1" w:styleId="Table1TD">
    <w:name w:val="Table 1_TD"/>
    <w:qFormat/>
    <w:rsid w:val="00EA6A87"/>
    <w:rPr>
      <w:rFonts w:ascii="SansSerif" w:eastAsia="SansSerif" w:hAnsi="SansSerif" w:cs="SansSerif"/>
      <w:color w:val="000000"/>
    </w:rPr>
  </w:style>
  <w:style w:type="paragraph" w:customStyle="1" w:styleId="Table2TH">
    <w:name w:val="Table 2_TH"/>
    <w:qFormat/>
    <w:rsid w:val="00EA6A87"/>
    <w:rPr>
      <w:rFonts w:ascii="SansSerif" w:eastAsia="SansSerif" w:hAnsi="SansSerif" w:cs="SansSerif"/>
      <w:color w:val="000000"/>
    </w:rPr>
  </w:style>
  <w:style w:type="paragraph" w:customStyle="1" w:styleId="Table2CH">
    <w:name w:val="Table 2_CH"/>
    <w:qFormat/>
    <w:rsid w:val="00EA6A87"/>
    <w:rPr>
      <w:rFonts w:ascii="SansSerif" w:eastAsia="SansSerif" w:hAnsi="SansSerif" w:cs="SansSerif"/>
      <w:color w:val="000000"/>
    </w:rPr>
  </w:style>
  <w:style w:type="paragraph" w:customStyle="1" w:styleId="Table2TD">
    <w:name w:val="Table 2_TD"/>
    <w:qFormat/>
    <w:rsid w:val="00EA6A87"/>
    <w:rPr>
      <w:rFonts w:ascii="SansSerif" w:eastAsia="SansSerif" w:hAnsi="SansSerif" w:cs="SansSerif"/>
      <w:color w:val="000000"/>
    </w:rPr>
  </w:style>
  <w:style w:type="paragraph" w:customStyle="1" w:styleId="Table5TH">
    <w:name w:val="Table 5_TH"/>
    <w:qFormat/>
    <w:rsid w:val="00EA6A87"/>
    <w:rPr>
      <w:rFonts w:ascii="SansSerif" w:eastAsia="SansSerif" w:hAnsi="SansSerif" w:cs="SansSerif"/>
      <w:color w:val="000000"/>
    </w:rPr>
  </w:style>
  <w:style w:type="paragraph" w:customStyle="1" w:styleId="Table5CH">
    <w:name w:val="Table 5_CH"/>
    <w:qFormat/>
    <w:rsid w:val="00EA6A87"/>
    <w:rPr>
      <w:rFonts w:ascii="SansSerif" w:eastAsia="SansSerif" w:hAnsi="SansSerif" w:cs="SansSerif"/>
      <w:color w:val="000000"/>
    </w:rPr>
  </w:style>
  <w:style w:type="paragraph" w:customStyle="1" w:styleId="Table5TD">
    <w:name w:val="Table 5_TD"/>
    <w:qFormat/>
    <w:rsid w:val="00EA6A87"/>
    <w:rPr>
      <w:rFonts w:ascii="SansSerif" w:eastAsia="SansSerif" w:hAnsi="SansSerif" w:cs="SansSerif"/>
      <w:color w:val="000000"/>
    </w:rPr>
  </w:style>
  <w:style w:type="paragraph" w:customStyle="1" w:styleId="Table6TH">
    <w:name w:val="Table 6_TH"/>
    <w:qFormat/>
    <w:rsid w:val="00EA6A87"/>
    <w:rPr>
      <w:rFonts w:ascii="SansSerif" w:eastAsia="SansSerif" w:hAnsi="SansSerif" w:cs="SansSerif"/>
      <w:color w:val="000000"/>
    </w:rPr>
  </w:style>
  <w:style w:type="paragraph" w:customStyle="1" w:styleId="Table6CH">
    <w:name w:val="Table 6_CH"/>
    <w:qFormat/>
    <w:rsid w:val="00EA6A87"/>
    <w:rPr>
      <w:rFonts w:ascii="SansSerif" w:eastAsia="SansSerif" w:hAnsi="SansSerif" w:cs="SansSerif"/>
      <w:color w:val="000000"/>
    </w:rPr>
  </w:style>
  <w:style w:type="paragraph" w:customStyle="1" w:styleId="Table6TD">
    <w:name w:val="Table 6_TD"/>
    <w:qFormat/>
    <w:rsid w:val="00EA6A87"/>
    <w:rPr>
      <w:rFonts w:ascii="SansSerif" w:eastAsia="SansSerif" w:hAnsi="SansSerif" w:cs="SansSerif"/>
      <w:color w:val="000000"/>
    </w:rPr>
  </w:style>
  <w:style w:type="paragraph" w:styleId="a3">
    <w:name w:val="header"/>
    <w:basedOn w:val="a"/>
    <w:link w:val="Char"/>
    <w:uiPriority w:val="99"/>
    <w:semiHidden/>
    <w:unhideWhenUsed/>
    <w:rsid w:val="004F3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39DE"/>
    <w:rPr>
      <w:sz w:val="18"/>
      <w:szCs w:val="18"/>
    </w:rPr>
  </w:style>
  <w:style w:type="paragraph" w:styleId="a4">
    <w:name w:val="footer"/>
    <w:basedOn w:val="a"/>
    <w:link w:val="Char0"/>
    <w:uiPriority w:val="99"/>
    <w:semiHidden/>
    <w:unhideWhenUsed/>
    <w:rsid w:val="004F39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39D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5645</Characters>
  <Application>Microsoft Office Word</Application>
  <DocSecurity>0</DocSecurity>
  <Lines>47</Lines>
  <Paragraphs>13</Paragraphs>
  <ScaleCrop>false</ScaleCrop>
  <Company>Microsoft</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4</cp:revision>
  <dcterms:created xsi:type="dcterms:W3CDTF">2021-04-21T02:35:00Z</dcterms:created>
  <dcterms:modified xsi:type="dcterms:W3CDTF">2021-04-21T03:30:00Z</dcterms:modified>
</cp:coreProperties>
</file>