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兴银理财睿盈陆陆通1号净值型理财产品2021年第一季度报告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兴银理财睿盈陆陆通1号净值型理财产品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兴银理财睿盈陆陆通1号净值型理财产品2021年第一季度报告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兴银理财睿盈陆陆通1号净值型理财产品2021年第一季度报告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兴银理财睿盈陆陆通1号净值型理财产品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9K220603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6,680,708,268.29份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9K220613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5,455,381,346.02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9K220623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1,225,326,922.27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兴银理财睿盈陆陆通1号净值型理财产品2021年第一季度报告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产品9K220603自起息日以来，累计净值增长率为3.2310%，年化累计净值增长率为6.4093%。</w:t>
              <w:br/>
              <w:t xml:space="preserve">产品9K220613自起息日以来，累计净值增长率为3.2190%，年化累计净值增长率为6.3855%。</w:t>
              <w:br/>
              <w:t xml:space="preserve">产品9K220623自起息日以来，累计净值增长率为3.2850%，年化累计净值增长率为6.5164%。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9K220603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6,896,581,923.05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9K220613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5,631,004,754.19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9K220623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1,265,577,168.86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br/>
              <w:t xml:space="preserve">    谢若嫣，清华大学经济管理学院硕士，CPA，2020年加入兴银理财，曾在泰康资产管理有限责任公司工作，四年FOF研究投资经验。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一季度，债券市场大致可以分为3个阶段：1、永煤冲击下，宽松小周期意外开启，熊市主流认知被打破，债市跨年行情超预期；2、春节前央行提前收紧，“小钱荒”让市场预期从一个极端（松）走向另一个极端（紧）；3、节后海外再通胀交易升温+美债上行超预期，纠结心态下债市却不跌反涨，对利空钝化。3月份在诸多担忧之中，利率走出了一波下行行情，虽然节奏缓慢而纠结。市场之所以“看空做多”，主要还是受到微观交易结构的驱动。恰逢海外风险事件突发，构成做多的催化剂。此外，利率下行中也隐含了对中期利好的朦胧预期。</w:t>
              <w:br/>
              <w:t xml:space="preserve">    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1%到1.7%的大幅上行，但是背后本质原因仍然是在高估值的大背景下，核心资产需要通过大幅波动来消化估值。</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兴银理财睿盈陆陆通1号净值型理财产品2021年第一季度报告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9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二季度，对于债券市场，我们整体持中性乐观的态度，继续注重票息行情。投资者对二季度债市的担忧主要来自以下2点：1、二季度的地方债和国债发行即将放量，投资者担忧会推动债券收益率上升；2、二季度PPI可能会被推升较高，加之4月税期扰动，投资者担忧二季度央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4月中央/地方政府债务融资情况。但在配置需求和央行“跨周期”调控思路下，一旦出现超预期的经济动能和通胀走弱、叠加信用风险上升推动货币政策宽松，在当前各类机构仓位和杠杆比较低的情况下很可能出现一轮快速“抢跑”和补仓行情，那么利率的下行速度可能就会比较快，投资者面临的可能就是踏空的损失。所以我们建议在参与波段行情的基础上，更加注重较为稳定的票息策略。</w:t>
              <w:br/>
              <w:t xml:space="preserve">    二、一季度运作回顾</w:t>
              <w:br/>
              <w:t xml:space="preserve">    2021年一季度，债券市场震荡偏强。前期供求错位+资金错位+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NCD等资金敏感型资产，转向票息策略。</w:t>
              <w:br/>
              <w:t xml:space="preserve">    三、二季度投资策略</w:t>
              <w:br/>
              <w:t xml:space="preserve">    展望二季度，产品将继续保持稳健的投资风格，以票息策略为主，同时维持中性的杠杆水平与中性的组合久期。1、短端同业存单依旧具备相对较好的配置价值。2、利率债方面，我们建议长端利率保持观望，中段3-5年利率债久期适中，受供给影响较小，骑乘策略有一定挖掘空间。3、信用债票息机会仍是主流配置，但要甄别个券，不盲目信用下沉，不过多承担信用暴露风险，有所为有所不为。</w:t>
              <w:br/>
              <w:t xml:space="preserve">    权益方面，展望长期，我们对于中国经济、对于A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后续将通过盈利增长来消化估值，考虑到政策的稳定性、盈利的确定性、上层对资本市场的定位等方面，我们对后市并不悲观。因此，对于绝对收益的产品，一方面我们将以更严苛的要求选择基金，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兴银理财睿盈陆陆通1号净值型理财产品2021年第一季度报告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Z京-同业借款20201016003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Z京-同业借款20201016005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富国美丽中国(002593.OF)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30,580,650.66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17泰交02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交银内核驱动 ( 008507.OF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47,880,894.20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兴银理财睿盈陆陆通1号净值型理财产品2021年第一季度报告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9K220603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9K220603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18景国资MTN001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9K220603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9K220603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051010100101094974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兴银理财睿盈陆陆通1号净值型理财产品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