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2021年第一季度报告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2,113,860,279.36份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2,113,860,279.36</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2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产品9K810002自起息日以来，累计净值增长率为2.2530%，年化累计净值增长率为3.5754%。</w:t>
              <w:br/>
              <w:t xml:space="preserve">产品9K810012自起息日以来，累计净值增长率为2.2530%，年化累计净值增长率为3.5754%。</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2,161,494,545.93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2,161,494,545.93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9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一季度，债券市场大致可以分为3个阶段：1、永煤冲击下，宽松小周期意外开启，熊市主流认知被打破，债市跨年行情超预期；2、春节前央行提前收紧，“小钱荒”让市场预期从一个极端（松）走向另一个极端（紧）；3、节后海外再通胀交易升温+美债上行超预期，纠结心态下债市却不跌反涨，对利空钝化。3月份在诸多担忧之中，利率走出了一波下行行情，虽然节奏缓慢而纠结。市场之所以“看空做多”，主要还是受到微观交易结构的驱动。恰逢海外风险事件突发，构成做多的催化剂。此外，利率下行中也隐含了对中期利好的朦胧预期。</w:t>
              <w:br/>
              <w:t xml:space="preserve">    展望二季度，对于债券市场，我们整体持中性乐观的态度，继续注重票息行情。投资者对二季度债市的担忧主要来自以下2点：1、二季度的地方债和国债发行即将放量，投资者担忧会推动债券收益率上升；2、二季度PPI可能会被推升较高，加之4月税期扰动，投资者担忧二季度央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4月中央/地方政府债务融资情况。但在配置需求和央行“跨周期”调控思路下，一旦出现超预期的经济动能和通胀走弱、叠加信用风险上升推动货币政策宽松，在当前各类机构仓位和杠杆比较低的情况下很可能出现一轮快速“抢跑”和补仓行情，那么利率的下行速度可能就会比较快，投资者面临的可能就是踏空的损失。所以我们建议在参与波段行情的基础上，更加注重较为稳定的票息策略。</w:t>
              <w:br/>
              <w:t xml:space="preserve">    二、一季度运作回顾</w:t>
              <w:br/>
              <w:t xml:space="preserve">    2021年一季度，债券市场震荡偏强。前期供求错位+资金错位+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NCD等资金敏感型资产，转向票息策略。</w:t>
              <w:br/>
              <w:t xml:space="preserve">    三、二季度投资策略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二季度，产品将继续保持稳健的投资风格，以票息策略为主，同时维持中性的杠杆水平与中性的组合久期。1、短端同业存单依旧具备相对较好的配置价值。2、利率债方面，我们建议长端利率保持观望，中段3-5年利率债久期适中，受供给影响较小，骑乘策略有一定挖掘空间。3、信用债票息机会仍是主流配置，但要甄别个券，不盲目信用下沉，不过多承担信用暴露风险，有所为有所不为。</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无。</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18中租06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16滨海02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18云港01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19兵国01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19海通C1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19张公01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20乌高01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20镇国投SCP005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18淮安交控PPN001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20高速地产CP001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兴银理财稳添利短债净值型理财产品2021年第一季度报告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2021年4月22日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