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D4B4" w14:textId="095F6CC8" w:rsidR="00FC5FD4" w:rsidRPr="001046D5" w:rsidRDefault="00FC5FD4" w:rsidP="00FC5FD4">
      <w:pPr>
        <w:spacing w:line="460" w:lineRule="exact"/>
        <w:jc w:val="left"/>
        <w:rPr>
          <w:rFonts w:ascii="Times New Roman" w:hAnsi="Times New Roman"/>
          <w:b/>
          <w:sz w:val="11"/>
          <w:szCs w:val="11"/>
        </w:rPr>
      </w:pPr>
      <w:bookmarkStart w:id="0" w:name="_Hlk102476694"/>
      <w:r w:rsidRPr="001046D5">
        <w:rPr>
          <w:rFonts w:ascii="Times New Roman" w:hAnsi="Times New Roman"/>
          <w:b/>
          <w:sz w:val="11"/>
          <w:szCs w:val="11"/>
        </w:rPr>
        <w:t xml:space="preserve">Announcement Code: TEMP 2022-027  </w:t>
      </w:r>
    </w:p>
    <w:p w14:paraId="7437BC67" w14:textId="23634569" w:rsidR="00FC5FD4" w:rsidRPr="001046D5" w:rsidRDefault="00FC5FD4" w:rsidP="00FC5FD4">
      <w:pPr>
        <w:spacing w:line="460" w:lineRule="exact"/>
        <w:jc w:val="left"/>
        <w:rPr>
          <w:rFonts w:ascii="Times New Roman" w:hAnsi="Times New Roman"/>
          <w:b/>
          <w:sz w:val="11"/>
          <w:szCs w:val="11"/>
        </w:rPr>
      </w:pPr>
      <w:r w:rsidRPr="001046D5">
        <w:rPr>
          <w:rFonts w:ascii="Times New Roman" w:hAnsi="Times New Roman"/>
          <w:b/>
          <w:sz w:val="11"/>
          <w:szCs w:val="11"/>
        </w:rPr>
        <w:t xml:space="preserve">Code of A Share: 601166            </w:t>
      </w:r>
      <w:r w:rsidR="001046D5">
        <w:rPr>
          <w:rFonts w:ascii="Times New Roman" w:hAnsi="Times New Roman"/>
          <w:b/>
          <w:sz w:val="11"/>
          <w:szCs w:val="11"/>
        </w:rPr>
        <w:t xml:space="preserve">              </w:t>
      </w:r>
      <w:r w:rsidRPr="001046D5">
        <w:rPr>
          <w:rFonts w:ascii="Times New Roman" w:hAnsi="Times New Roman"/>
          <w:b/>
          <w:sz w:val="11"/>
          <w:szCs w:val="11"/>
        </w:rPr>
        <w:t>Abbreviation of A Share: Industrial Bank</w:t>
      </w:r>
    </w:p>
    <w:p w14:paraId="1943B268" w14:textId="77777777" w:rsidR="00FC5FD4" w:rsidRPr="001046D5" w:rsidRDefault="00FC5FD4" w:rsidP="00FC5FD4">
      <w:pPr>
        <w:spacing w:line="460" w:lineRule="exact"/>
        <w:jc w:val="left"/>
        <w:rPr>
          <w:rFonts w:ascii="Times New Roman" w:hAnsi="Times New Roman"/>
          <w:b/>
          <w:sz w:val="11"/>
          <w:szCs w:val="11"/>
        </w:rPr>
      </w:pPr>
      <w:r w:rsidRPr="001046D5">
        <w:rPr>
          <w:rFonts w:ascii="Times New Roman" w:hAnsi="Times New Roman"/>
          <w:b/>
          <w:sz w:val="11"/>
          <w:szCs w:val="11"/>
        </w:rPr>
        <w:t>Code of Preferred Stock: 360005, 360012, 360032     Abbreviation of Preferred Stock: Industrial Preferred 1, Industrial Preferred 2, Industrial Preferred 3</w:t>
      </w:r>
    </w:p>
    <w:p w14:paraId="55200457" w14:textId="28EC6C5F" w:rsidR="00FC5FD4" w:rsidRPr="001046D5" w:rsidRDefault="00FC5FD4" w:rsidP="00FC5FD4">
      <w:pPr>
        <w:spacing w:line="460" w:lineRule="exact"/>
        <w:jc w:val="left"/>
        <w:rPr>
          <w:rFonts w:ascii="Times New Roman" w:hAnsi="Times New Roman"/>
          <w:b/>
          <w:sz w:val="11"/>
          <w:szCs w:val="11"/>
        </w:rPr>
      </w:pPr>
      <w:r w:rsidRPr="001046D5">
        <w:rPr>
          <w:rFonts w:ascii="Times New Roman" w:hAnsi="Times New Roman"/>
          <w:b/>
          <w:sz w:val="11"/>
          <w:szCs w:val="11"/>
        </w:rPr>
        <w:t xml:space="preserve">Code of Convertible Bonds:113052  </w:t>
      </w:r>
      <w:r w:rsidR="001046D5">
        <w:rPr>
          <w:rFonts w:ascii="Times New Roman" w:hAnsi="Times New Roman"/>
          <w:b/>
          <w:sz w:val="11"/>
          <w:szCs w:val="11"/>
        </w:rPr>
        <w:t xml:space="preserve">               </w:t>
      </w:r>
      <w:r w:rsidRPr="001046D5">
        <w:rPr>
          <w:rFonts w:ascii="Times New Roman" w:hAnsi="Times New Roman"/>
          <w:b/>
          <w:sz w:val="11"/>
          <w:szCs w:val="11"/>
        </w:rPr>
        <w:t xml:space="preserve">Abbreviation of Convertible Bonds: Industrial Convertible Bonds                          </w:t>
      </w:r>
    </w:p>
    <w:bookmarkEnd w:id="0"/>
    <w:p w14:paraId="64F4860F" w14:textId="77777777" w:rsidR="00FC5FD4" w:rsidRPr="001046D5" w:rsidRDefault="00FC5FD4">
      <w:pPr>
        <w:spacing w:line="460" w:lineRule="exact"/>
        <w:jc w:val="left"/>
        <w:rPr>
          <w:rFonts w:ascii="Times New Roman" w:hAnsi="Times New Roman"/>
          <w:b/>
          <w:sz w:val="11"/>
          <w:szCs w:val="11"/>
        </w:rPr>
      </w:pPr>
    </w:p>
    <w:p w14:paraId="4932FA3F" w14:textId="77777777" w:rsidR="00927490" w:rsidRPr="00D86666" w:rsidRDefault="00927490">
      <w:pPr>
        <w:jc w:val="left"/>
        <w:rPr>
          <w:rFonts w:ascii="Times New Roman" w:hAnsi="Times New Roman"/>
          <w:b/>
          <w:szCs w:val="21"/>
        </w:rPr>
      </w:pPr>
    </w:p>
    <w:p w14:paraId="2AEBAFFE" w14:textId="77777777" w:rsidR="00D86666" w:rsidRDefault="00D86666" w:rsidP="00D86666">
      <w:pPr>
        <w:spacing w:line="360" w:lineRule="auto"/>
        <w:jc w:val="center"/>
        <w:rPr>
          <w:rFonts w:ascii="Times New Roman" w:eastAsia="黑体" w:hAnsi="Times New Roman"/>
          <w:color w:val="FF0000"/>
          <w:sz w:val="36"/>
          <w:szCs w:val="36"/>
        </w:rPr>
      </w:pPr>
      <w:r w:rsidRPr="00EC51C7">
        <w:rPr>
          <w:rFonts w:ascii="Times New Roman" w:eastAsia="黑体" w:hAnsi="Times New Roman"/>
          <w:color w:val="FF0000"/>
          <w:sz w:val="36"/>
          <w:szCs w:val="36"/>
        </w:rPr>
        <w:t xml:space="preserve">Industrial Bank Co., Ltd. </w:t>
      </w:r>
    </w:p>
    <w:p w14:paraId="626E1A3C" w14:textId="37C9A636" w:rsidR="00D86666" w:rsidRPr="00D86666" w:rsidRDefault="00D86666" w:rsidP="00D852D6">
      <w:pPr>
        <w:jc w:val="center"/>
        <w:rPr>
          <w:rFonts w:ascii="Times New Roman" w:eastAsia="黑体" w:hAnsi="Times New Roman"/>
          <w:color w:val="FF0000"/>
          <w:sz w:val="36"/>
          <w:szCs w:val="36"/>
        </w:rPr>
      </w:pPr>
      <w:r w:rsidRPr="00D86666">
        <w:rPr>
          <w:rFonts w:ascii="Times New Roman" w:eastAsia="黑体" w:hAnsi="Times New Roman"/>
          <w:color w:val="FF0000"/>
          <w:sz w:val="36"/>
          <w:szCs w:val="36"/>
        </w:rPr>
        <w:t xml:space="preserve">Announcement on the Purchase of the Company's Shares </w:t>
      </w:r>
      <w:r>
        <w:rPr>
          <w:rFonts w:ascii="Times New Roman" w:eastAsia="黑体" w:hAnsi="Times New Roman"/>
          <w:color w:val="FF0000"/>
          <w:sz w:val="36"/>
          <w:szCs w:val="36"/>
        </w:rPr>
        <w:t>by Heads of</w:t>
      </w:r>
      <w:r w:rsidR="00DD765F">
        <w:rPr>
          <w:rFonts w:ascii="Times New Roman" w:eastAsia="黑体" w:hAnsi="Times New Roman"/>
          <w:color w:val="FF0000"/>
          <w:sz w:val="36"/>
          <w:szCs w:val="36"/>
        </w:rPr>
        <w:t xml:space="preserve"> Departments in</w:t>
      </w:r>
      <w:r>
        <w:rPr>
          <w:rFonts w:ascii="Times New Roman" w:eastAsia="黑体" w:hAnsi="Times New Roman"/>
          <w:color w:val="FF0000"/>
          <w:sz w:val="36"/>
          <w:szCs w:val="36"/>
        </w:rPr>
        <w:t xml:space="preserve"> </w:t>
      </w:r>
      <w:r w:rsidRPr="00D86666">
        <w:rPr>
          <w:rFonts w:ascii="Times New Roman" w:eastAsia="黑体" w:hAnsi="Times New Roman"/>
          <w:color w:val="FF0000"/>
          <w:sz w:val="36"/>
          <w:szCs w:val="36"/>
        </w:rPr>
        <w:t>Subsidiar</w:t>
      </w:r>
      <w:r w:rsidR="00D852D6">
        <w:rPr>
          <w:rFonts w:ascii="Times New Roman" w:eastAsia="黑体" w:hAnsi="Times New Roman"/>
          <w:color w:val="FF0000"/>
          <w:sz w:val="36"/>
          <w:szCs w:val="36"/>
        </w:rPr>
        <w:t>ies</w:t>
      </w:r>
      <w:r w:rsidRPr="00D86666">
        <w:rPr>
          <w:rFonts w:ascii="Times New Roman" w:eastAsia="黑体" w:hAnsi="Times New Roman"/>
          <w:color w:val="FF0000"/>
          <w:sz w:val="36"/>
          <w:szCs w:val="36"/>
        </w:rPr>
        <w:t>, Branch</w:t>
      </w:r>
      <w:r w:rsidR="00D852D6">
        <w:rPr>
          <w:rFonts w:ascii="Times New Roman" w:eastAsia="黑体" w:hAnsi="Times New Roman"/>
          <w:color w:val="FF0000"/>
          <w:sz w:val="36"/>
          <w:szCs w:val="36"/>
        </w:rPr>
        <w:t>es</w:t>
      </w:r>
      <w:r w:rsidRPr="00D86666">
        <w:rPr>
          <w:rFonts w:ascii="Times New Roman" w:eastAsia="黑体" w:hAnsi="Times New Roman"/>
          <w:color w:val="FF0000"/>
          <w:sz w:val="36"/>
          <w:szCs w:val="36"/>
        </w:rPr>
        <w:t xml:space="preserve"> and </w:t>
      </w:r>
      <w:r w:rsidR="00DD765F">
        <w:rPr>
          <w:rFonts w:ascii="Times New Roman" w:eastAsia="黑体" w:hAnsi="Times New Roman"/>
          <w:color w:val="FF0000"/>
          <w:sz w:val="36"/>
          <w:szCs w:val="36"/>
        </w:rPr>
        <w:t>the Headquarter</w:t>
      </w:r>
      <w:r w:rsidRPr="00D86666">
        <w:rPr>
          <w:rFonts w:ascii="Times New Roman" w:eastAsia="黑体" w:hAnsi="Times New Roman"/>
          <w:color w:val="FF0000"/>
          <w:sz w:val="36"/>
          <w:szCs w:val="36"/>
        </w:rPr>
        <w:t xml:space="preserve"> </w:t>
      </w:r>
    </w:p>
    <w:p w14:paraId="0599D337" w14:textId="77777777" w:rsidR="00D86666" w:rsidRPr="00D86666" w:rsidRDefault="00D86666" w:rsidP="00D86666">
      <w:pPr>
        <w:spacing w:line="360" w:lineRule="auto"/>
        <w:ind w:firstLineChars="200" w:firstLine="480"/>
        <w:rPr>
          <w:rFonts w:ascii="Times New Roman" w:hAnsi="Times New Roman"/>
          <w:sz w:val="24"/>
          <w:szCs w:val="24"/>
        </w:rPr>
      </w:pPr>
      <w:bookmarkStart w:id="1" w:name="_Hlk102476878"/>
      <w:r w:rsidRPr="00D86666">
        <w:rPr>
          <w:rFonts w:ascii="Times New Roman" w:hAnsi="Times New Roman"/>
          <w:sz w:val="24"/>
          <w:szCs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bookmarkEnd w:id="1"/>
    <w:p w14:paraId="7FBBC4E0" w14:textId="77777777" w:rsidR="00927490" w:rsidRPr="00D86666" w:rsidRDefault="00927490">
      <w:pPr>
        <w:ind w:firstLine="573"/>
        <w:rPr>
          <w:rFonts w:ascii="Times New Roman" w:hAnsi="Times New Roman"/>
          <w:sz w:val="24"/>
        </w:rPr>
      </w:pPr>
    </w:p>
    <w:p w14:paraId="0EBC3FA7" w14:textId="60629C96" w:rsidR="00DD765F" w:rsidRPr="00D86666" w:rsidRDefault="00DD765F">
      <w:pPr>
        <w:spacing w:line="360" w:lineRule="auto"/>
        <w:ind w:firstLineChars="200" w:firstLine="480"/>
        <w:rPr>
          <w:rFonts w:ascii="Times New Roman" w:hAnsi="Times New Roman"/>
          <w:sz w:val="24"/>
          <w:szCs w:val="24"/>
        </w:rPr>
      </w:pPr>
      <w:r w:rsidRPr="00DD765F">
        <w:rPr>
          <w:rFonts w:ascii="Times New Roman" w:hAnsi="Times New Roman"/>
          <w:sz w:val="24"/>
          <w:szCs w:val="24"/>
        </w:rPr>
        <w:t xml:space="preserve">From January 13 to February 18, 2022, </w:t>
      </w:r>
      <w:r w:rsidR="00A17BD9">
        <w:rPr>
          <w:rFonts w:ascii="Times New Roman" w:hAnsi="Times New Roman"/>
          <w:sz w:val="24"/>
          <w:szCs w:val="24"/>
        </w:rPr>
        <w:t>a handful of</w:t>
      </w:r>
      <w:r>
        <w:rPr>
          <w:rFonts w:ascii="Times New Roman" w:hAnsi="Times New Roman"/>
          <w:sz w:val="24"/>
          <w:szCs w:val="24"/>
        </w:rPr>
        <w:t xml:space="preserve"> heads of department</w:t>
      </w:r>
      <w:r w:rsidR="0070212C">
        <w:rPr>
          <w:rFonts w:ascii="Times New Roman" w:hAnsi="Times New Roman"/>
          <w:sz w:val="24"/>
          <w:szCs w:val="24"/>
        </w:rPr>
        <w:t>s</w:t>
      </w:r>
      <w:r>
        <w:rPr>
          <w:rFonts w:ascii="Times New Roman" w:hAnsi="Times New Roman"/>
          <w:sz w:val="24"/>
          <w:szCs w:val="24"/>
        </w:rPr>
        <w:t xml:space="preserve"> (including their spouses and offspring)</w:t>
      </w:r>
      <w:r w:rsidRPr="00DD765F">
        <w:rPr>
          <w:rFonts w:ascii="Times New Roman" w:hAnsi="Times New Roman"/>
          <w:sz w:val="24"/>
          <w:szCs w:val="24"/>
        </w:rPr>
        <w:t xml:space="preserve"> </w:t>
      </w:r>
      <w:r w:rsidR="0070212C">
        <w:rPr>
          <w:rFonts w:ascii="Times New Roman" w:hAnsi="Times New Roman"/>
          <w:sz w:val="24"/>
          <w:szCs w:val="24"/>
        </w:rPr>
        <w:t xml:space="preserve">in </w:t>
      </w:r>
      <w:r w:rsidRPr="00DD765F">
        <w:rPr>
          <w:rFonts w:ascii="Times New Roman" w:hAnsi="Times New Roman"/>
          <w:sz w:val="24"/>
          <w:szCs w:val="24"/>
        </w:rPr>
        <w:t xml:space="preserve">subsidiaries, branches and </w:t>
      </w:r>
      <w:r w:rsidR="0070212C">
        <w:rPr>
          <w:rFonts w:ascii="Times New Roman" w:hAnsi="Times New Roman"/>
          <w:sz w:val="24"/>
          <w:szCs w:val="24"/>
        </w:rPr>
        <w:t>the headquarter</w:t>
      </w:r>
      <w:r w:rsidRPr="00DD765F">
        <w:rPr>
          <w:rFonts w:ascii="Times New Roman" w:hAnsi="Times New Roman"/>
          <w:sz w:val="24"/>
          <w:szCs w:val="24"/>
        </w:rPr>
        <w:t xml:space="preserve"> of Industrial Bank Co., Ltd (hereinafter referred to as the Company) purchased 16,932,900 shares </w:t>
      </w:r>
      <w:r w:rsidR="00804193">
        <w:rPr>
          <w:rFonts w:ascii="Times New Roman" w:hAnsi="Times New Roman"/>
          <w:sz w:val="24"/>
          <w:szCs w:val="24"/>
        </w:rPr>
        <w:t xml:space="preserve">of their own accord </w:t>
      </w:r>
      <w:r w:rsidRPr="00DD765F">
        <w:rPr>
          <w:rFonts w:ascii="Times New Roman" w:hAnsi="Times New Roman"/>
          <w:sz w:val="24"/>
          <w:szCs w:val="24"/>
        </w:rPr>
        <w:t>from the secondary market with their own funds at a price range of RMB</w:t>
      </w:r>
      <w:r w:rsidR="00B85961">
        <w:rPr>
          <w:rFonts w:ascii="Times New Roman" w:hAnsi="Times New Roman"/>
          <w:sz w:val="24"/>
          <w:szCs w:val="24"/>
        </w:rPr>
        <w:t xml:space="preserve"> </w:t>
      </w:r>
      <w:r w:rsidRPr="00DD765F">
        <w:rPr>
          <w:rFonts w:ascii="Times New Roman" w:hAnsi="Times New Roman"/>
          <w:sz w:val="24"/>
          <w:szCs w:val="24"/>
        </w:rPr>
        <w:t>20.36 to RMB</w:t>
      </w:r>
      <w:r w:rsidR="00B85961">
        <w:rPr>
          <w:rFonts w:ascii="Times New Roman" w:hAnsi="Times New Roman"/>
          <w:sz w:val="24"/>
          <w:szCs w:val="24"/>
        </w:rPr>
        <w:t xml:space="preserve"> </w:t>
      </w:r>
      <w:r w:rsidRPr="00DD765F">
        <w:rPr>
          <w:rFonts w:ascii="Times New Roman" w:hAnsi="Times New Roman"/>
          <w:sz w:val="24"/>
          <w:szCs w:val="24"/>
        </w:rPr>
        <w:t>23.08 per share.</w:t>
      </w:r>
    </w:p>
    <w:p w14:paraId="0B98CB94" w14:textId="50E51B67" w:rsidR="004A724B" w:rsidRDefault="004A724B" w:rsidP="004A724B">
      <w:pPr>
        <w:spacing w:line="360" w:lineRule="auto"/>
        <w:ind w:firstLineChars="200" w:firstLine="480"/>
        <w:rPr>
          <w:rFonts w:ascii="Times New Roman" w:hAnsi="Times New Roman"/>
          <w:sz w:val="24"/>
          <w:szCs w:val="24"/>
        </w:rPr>
      </w:pPr>
      <w:r w:rsidRPr="004A724B">
        <w:rPr>
          <w:rFonts w:ascii="Times New Roman" w:hAnsi="Times New Roman"/>
          <w:sz w:val="24"/>
          <w:szCs w:val="24"/>
        </w:rPr>
        <w:t>The above-mentioned persons confirmed that the stock transaction complied with the relevant laws, regulations and regulatory requirements. The stock purchase does not involve any change in the shareholdings of the directors, supervisors and senior management of the Company.</w:t>
      </w:r>
    </w:p>
    <w:p w14:paraId="749189D2" w14:textId="77777777" w:rsidR="0004393A" w:rsidRDefault="0004393A" w:rsidP="0004393A">
      <w:pPr>
        <w:pStyle w:val="Default"/>
        <w:spacing w:line="360" w:lineRule="auto"/>
        <w:ind w:firstLine="480"/>
        <w:rPr>
          <w:rFonts w:ascii="Times New Roman" w:hAnsi="Times New Roman" w:cs="Times New Roman"/>
          <w:kern w:val="2"/>
        </w:rPr>
      </w:pPr>
      <w:bookmarkStart w:id="2" w:name="_Hlk102477669"/>
      <w:r>
        <w:rPr>
          <w:rFonts w:ascii="Times New Roman" w:hAnsi="Times New Roman" w:cs="Times New Roman"/>
          <w:kern w:val="2"/>
        </w:rPr>
        <w:t>It is h</w:t>
      </w:r>
      <w:r w:rsidRPr="00882FCD">
        <w:rPr>
          <w:rFonts w:ascii="Times New Roman" w:hAnsi="Times New Roman" w:cs="Times New Roman"/>
          <w:kern w:val="2"/>
        </w:rPr>
        <w:t xml:space="preserve">ereby announced.  </w:t>
      </w:r>
    </w:p>
    <w:p w14:paraId="0E613F5F" w14:textId="77777777" w:rsidR="0004393A" w:rsidRDefault="0004393A" w:rsidP="0004393A">
      <w:pPr>
        <w:pStyle w:val="Default"/>
        <w:spacing w:line="360" w:lineRule="auto"/>
        <w:ind w:firstLine="480"/>
        <w:rPr>
          <w:rFonts w:ascii="Times New Roman" w:hAnsi="Times New Roman" w:cs="Times New Roman"/>
          <w:kern w:val="2"/>
        </w:rPr>
      </w:pPr>
    </w:p>
    <w:p w14:paraId="43C8C799" w14:textId="33999C71" w:rsidR="0004393A" w:rsidRPr="003A2206" w:rsidRDefault="0004393A" w:rsidP="0004393A">
      <w:pPr>
        <w:pStyle w:val="Default"/>
        <w:spacing w:line="360" w:lineRule="auto"/>
        <w:ind w:firstLine="480"/>
        <w:jc w:val="right"/>
        <w:rPr>
          <w:rFonts w:ascii="Times New Roman" w:hAnsi="Times New Roman" w:cs="Times New Roman"/>
          <w:kern w:val="2"/>
        </w:rPr>
      </w:pPr>
      <w:r w:rsidRPr="00882FCD">
        <w:rPr>
          <w:rFonts w:ascii="Times New Roman" w:hAnsi="Times New Roman" w:cs="Times New Roman"/>
          <w:kern w:val="2"/>
        </w:rPr>
        <w:t xml:space="preserve">                           </w:t>
      </w:r>
      <w:bookmarkStart w:id="3" w:name="_Hlk102477293"/>
      <w:r w:rsidRPr="00DF17D7">
        <w:rPr>
          <w:rFonts w:ascii="Times New Roman" w:hAnsi="Times New Roman"/>
        </w:rPr>
        <w:t xml:space="preserve">Board of Directors of Industrial Bank Co., Ltd. </w:t>
      </w:r>
      <w:r>
        <w:rPr>
          <w:rFonts w:ascii="Times New Roman" w:hAnsi="Times New Roman" w:cs="Times New Roman"/>
          <w:kern w:val="2"/>
        </w:rPr>
        <w:t>February 21, 2022</w:t>
      </w:r>
      <w:bookmarkEnd w:id="2"/>
      <w:bookmarkEnd w:id="3"/>
    </w:p>
    <w:p w14:paraId="7597865C" w14:textId="62229E42" w:rsidR="00927490" w:rsidRPr="00D86666" w:rsidRDefault="00927490">
      <w:pPr>
        <w:spacing w:line="360" w:lineRule="auto"/>
        <w:ind w:left="560" w:right="720" w:firstLine="570"/>
        <w:jc w:val="right"/>
        <w:rPr>
          <w:rFonts w:ascii="Times New Roman" w:hAnsi="Times New Roman"/>
        </w:rPr>
      </w:pPr>
    </w:p>
    <w:sectPr w:rsidR="00927490" w:rsidRPr="00D86666">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00A6" w14:textId="77777777" w:rsidR="00714AB5" w:rsidRDefault="00714AB5">
      <w:r>
        <w:separator/>
      </w:r>
    </w:p>
  </w:endnote>
  <w:endnote w:type="continuationSeparator" w:id="0">
    <w:p w14:paraId="2619812A" w14:textId="77777777" w:rsidR="00714AB5" w:rsidRDefault="0071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5558"/>
      <w:showingPlcHdr/>
    </w:sdtPr>
    <w:sdtEndPr/>
    <w:sdtContent>
      <w:p w14:paraId="40A0918F" w14:textId="77777777" w:rsidR="00927490" w:rsidRDefault="00CA2A5D">
        <w:pPr>
          <w:pStyle w:val="a9"/>
          <w:jc w:val="center"/>
        </w:pPr>
        <w:r>
          <w:t xml:space="preserve">     </w:t>
        </w:r>
      </w:p>
    </w:sdtContent>
  </w:sdt>
  <w:p w14:paraId="6AFCEC65" w14:textId="77777777" w:rsidR="00927490" w:rsidRDefault="009274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A37A" w14:textId="77777777" w:rsidR="00714AB5" w:rsidRDefault="00714AB5">
      <w:r>
        <w:separator/>
      </w:r>
    </w:p>
  </w:footnote>
  <w:footnote w:type="continuationSeparator" w:id="0">
    <w:p w14:paraId="1A070D70" w14:textId="77777777" w:rsidR="00714AB5" w:rsidRDefault="00714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A26"/>
    <w:rsid w:val="000119AC"/>
    <w:rsid w:val="0002434D"/>
    <w:rsid w:val="00025F1A"/>
    <w:rsid w:val="00030027"/>
    <w:rsid w:val="0003744C"/>
    <w:rsid w:val="0004393A"/>
    <w:rsid w:val="000468B0"/>
    <w:rsid w:val="00055532"/>
    <w:rsid w:val="00074D03"/>
    <w:rsid w:val="000965A6"/>
    <w:rsid w:val="000B4746"/>
    <w:rsid w:val="0010193E"/>
    <w:rsid w:val="001046D5"/>
    <w:rsid w:val="0011172C"/>
    <w:rsid w:val="00133266"/>
    <w:rsid w:val="001404C3"/>
    <w:rsid w:val="001714C5"/>
    <w:rsid w:val="00172A27"/>
    <w:rsid w:val="00192164"/>
    <w:rsid w:val="001C2006"/>
    <w:rsid w:val="001C3468"/>
    <w:rsid w:val="001D30EE"/>
    <w:rsid w:val="002177DE"/>
    <w:rsid w:val="00231BA6"/>
    <w:rsid w:val="00231BEA"/>
    <w:rsid w:val="00242084"/>
    <w:rsid w:val="00272A6D"/>
    <w:rsid w:val="00280A00"/>
    <w:rsid w:val="002E2758"/>
    <w:rsid w:val="002E41FC"/>
    <w:rsid w:val="002F7623"/>
    <w:rsid w:val="0032754F"/>
    <w:rsid w:val="0033234A"/>
    <w:rsid w:val="00362BC5"/>
    <w:rsid w:val="0036325C"/>
    <w:rsid w:val="00385A88"/>
    <w:rsid w:val="003A1E05"/>
    <w:rsid w:val="003B0A84"/>
    <w:rsid w:val="003B6D09"/>
    <w:rsid w:val="003C3569"/>
    <w:rsid w:val="003E79CF"/>
    <w:rsid w:val="003E7CDF"/>
    <w:rsid w:val="00403288"/>
    <w:rsid w:val="00417352"/>
    <w:rsid w:val="0042530A"/>
    <w:rsid w:val="00457866"/>
    <w:rsid w:val="004A4624"/>
    <w:rsid w:val="004A724B"/>
    <w:rsid w:val="004B60D7"/>
    <w:rsid w:val="004C0D70"/>
    <w:rsid w:val="004E2CE4"/>
    <w:rsid w:val="004E3F9C"/>
    <w:rsid w:val="00510019"/>
    <w:rsid w:val="00514206"/>
    <w:rsid w:val="0051581C"/>
    <w:rsid w:val="005171FC"/>
    <w:rsid w:val="00536A73"/>
    <w:rsid w:val="00570B32"/>
    <w:rsid w:val="00593BE2"/>
    <w:rsid w:val="005E4D2C"/>
    <w:rsid w:val="005E556A"/>
    <w:rsid w:val="005E56E7"/>
    <w:rsid w:val="00612E89"/>
    <w:rsid w:val="00614053"/>
    <w:rsid w:val="00623F75"/>
    <w:rsid w:val="00642394"/>
    <w:rsid w:val="00651370"/>
    <w:rsid w:val="00666124"/>
    <w:rsid w:val="006A2189"/>
    <w:rsid w:val="006C11D7"/>
    <w:rsid w:val="006C5236"/>
    <w:rsid w:val="006E0102"/>
    <w:rsid w:val="0070212C"/>
    <w:rsid w:val="00705281"/>
    <w:rsid w:val="00714AB5"/>
    <w:rsid w:val="00716A8C"/>
    <w:rsid w:val="0073794B"/>
    <w:rsid w:val="007411F2"/>
    <w:rsid w:val="0074436D"/>
    <w:rsid w:val="007829F9"/>
    <w:rsid w:val="007D5B74"/>
    <w:rsid w:val="007E1738"/>
    <w:rsid w:val="00804193"/>
    <w:rsid w:val="00814E68"/>
    <w:rsid w:val="00815E46"/>
    <w:rsid w:val="008308D6"/>
    <w:rsid w:val="00847C7B"/>
    <w:rsid w:val="008506C5"/>
    <w:rsid w:val="008513A9"/>
    <w:rsid w:val="00871ECE"/>
    <w:rsid w:val="008914D5"/>
    <w:rsid w:val="008A0AFB"/>
    <w:rsid w:val="008B04A1"/>
    <w:rsid w:val="008B513D"/>
    <w:rsid w:val="008C4EE7"/>
    <w:rsid w:val="008C6F8D"/>
    <w:rsid w:val="008D30B2"/>
    <w:rsid w:val="00903856"/>
    <w:rsid w:val="00905083"/>
    <w:rsid w:val="0090688A"/>
    <w:rsid w:val="00927490"/>
    <w:rsid w:val="0094160E"/>
    <w:rsid w:val="009524D3"/>
    <w:rsid w:val="009D1503"/>
    <w:rsid w:val="009E7E14"/>
    <w:rsid w:val="009F2FE5"/>
    <w:rsid w:val="00A01F86"/>
    <w:rsid w:val="00A1176A"/>
    <w:rsid w:val="00A16E63"/>
    <w:rsid w:val="00A17BD9"/>
    <w:rsid w:val="00A50B64"/>
    <w:rsid w:val="00A62019"/>
    <w:rsid w:val="00A62E26"/>
    <w:rsid w:val="00A83B50"/>
    <w:rsid w:val="00A91F0B"/>
    <w:rsid w:val="00A9395B"/>
    <w:rsid w:val="00A94157"/>
    <w:rsid w:val="00AA3BB1"/>
    <w:rsid w:val="00AC3867"/>
    <w:rsid w:val="00AF282E"/>
    <w:rsid w:val="00AF6A68"/>
    <w:rsid w:val="00B2145E"/>
    <w:rsid w:val="00B52CBD"/>
    <w:rsid w:val="00B6711E"/>
    <w:rsid w:val="00B85961"/>
    <w:rsid w:val="00BC0F4D"/>
    <w:rsid w:val="00BC2C40"/>
    <w:rsid w:val="00BC483F"/>
    <w:rsid w:val="00BD70F6"/>
    <w:rsid w:val="00BD7DD8"/>
    <w:rsid w:val="00BE06E3"/>
    <w:rsid w:val="00BF3F51"/>
    <w:rsid w:val="00C102EC"/>
    <w:rsid w:val="00C2063D"/>
    <w:rsid w:val="00C550A4"/>
    <w:rsid w:val="00C71877"/>
    <w:rsid w:val="00C74FED"/>
    <w:rsid w:val="00C75679"/>
    <w:rsid w:val="00C75C33"/>
    <w:rsid w:val="00C86DF9"/>
    <w:rsid w:val="00C903C3"/>
    <w:rsid w:val="00C9046D"/>
    <w:rsid w:val="00C95FA3"/>
    <w:rsid w:val="00CA2A5D"/>
    <w:rsid w:val="00CB3017"/>
    <w:rsid w:val="00CB7050"/>
    <w:rsid w:val="00CD6A4B"/>
    <w:rsid w:val="00D671BA"/>
    <w:rsid w:val="00D72C1A"/>
    <w:rsid w:val="00D852D6"/>
    <w:rsid w:val="00D86666"/>
    <w:rsid w:val="00D9715E"/>
    <w:rsid w:val="00DC6ADA"/>
    <w:rsid w:val="00DD0F8B"/>
    <w:rsid w:val="00DD45DC"/>
    <w:rsid w:val="00DD765F"/>
    <w:rsid w:val="00DE4610"/>
    <w:rsid w:val="00DE5DA5"/>
    <w:rsid w:val="00E03B03"/>
    <w:rsid w:val="00E12988"/>
    <w:rsid w:val="00E1387A"/>
    <w:rsid w:val="00E1763D"/>
    <w:rsid w:val="00E36841"/>
    <w:rsid w:val="00E420CD"/>
    <w:rsid w:val="00E469C2"/>
    <w:rsid w:val="00E81B6E"/>
    <w:rsid w:val="00E92B5B"/>
    <w:rsid w:val="00EA48F1"/>
    <w:rsid w:val="00EB30A4"/>
    <w:rsid w:val="00EC11A9"/>
    <w:rsid w:val="00ED2BA3"/>
    <w:rsid w:val="00EF3336"/>
    <w:rsid w:val="00EF5704"/>
    <w:rsid w:val="00F2110D"/>
    <w:rsid w:val="00F55C2F"/>
    <w:rsid w:val="00F67B86"/>
    <w:rsid w:val="00F84ADF"/>
    <w:rsid w:val="00F931A3"/>
    <w:rsid w:val="00FA0E96"/>
    <w:rsid w:val="00FA7FAF"/>
    <w:rsid w:val="00FB4061"/>
    <w:rsid w:val="00FC2F72"/>
    <w:rsid w:val="00FC5FD4"/>
    <w:rsid w:val="00FF6C86"/>
    <w:rsid w:val="07E4653C"/>
    <w:rsid w:val="122511FB"/>
    <w:rsid w:val="175B5EDE"/>
    <w:rsid w:val="1F3A207D"/>
    <w:rsid w:val="2CFF75FA"/>
    <w:rsid w:val="360E7349"/>
    <w:rsid w:val="39DC3E01"/>
    <w:rsid w:val="3B3C6000"/>
    <w:rsid w:val="3FB738AB"/>
    <w:rsid w:val="54D23459"/>
    <w:rsid w:val="57395364"/>
    <w:rsid w:val="5B4C4811"/>
    <w:rsid w:val="60AC1290"/>
    <w:rsid w:val="697B5879"/>
    <w:rsid w:val="6F3C329A"/>
    <w:rsid w:val="7EEF1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40838"/>
  <w15:docId w15:val="{529769E2-021D-4257-B287-E1784D2F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qFormat/>
    <w:pPr>
      <w:ind w:leftChars="2500" w:left="100"/>
    </w:pPr>
    <w:rPr>
      <w:rFonts w:ascii="Times New Roman" w:hAnsi="Times New Roman"/>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a8">
    <w:name w:val="批注框文本 字符"/>
    <w:basedOn w:val="a0"/>
    <w:link w:val="a7"/>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f">
    <w:name w:val="批注主题 字符"/>
    <w:basedOn w:val="a4"/>
    <w:link w:val="ae"/>
    <w:uiPriority w:val="99"/>
    <w:semiHidden/>
    <w:qFormat/>
    <w:rPr>
      <w:b/>
      <w:bCs/>
      <w:kern w:val="2"/>
      <w:sz w:val="21"/>
      <w:szCs w:val="22"/>
    </w:rPr>
  </w:style>
  <w:style w:type="character" w:customStyle="1" w:styleId="a6">
    <w:name w:val="日期 字符"/>
    <w:basedOn w:val="a0"/>
    <w:link w:val="a5"/>
    <w:qFormat/>
    <w:rPr>
      <w:rFonts w:ascii="Times New Roman" w:hAnsi="Times New Roman"/>
      <w:kern w:val="2"/>
      <w:sz w:val="21"/>
      <w:szCs w:val="24"/>
    </w:rPr>
  </w:style>
  <w:style w:type="paragraph" w:styleId="af1">
    <w:name w:val="List Paragraph"/>
    <w:basedOn w:val="a"/>
    <w:uiPriority w:val="99"/>
    <w:qFormat/>
    <w:pPr>
      <w:ind w:firstLineChars="200" w:firstLine="420"/>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240</Words>
  <Characters>1374</Characters>
  <Application>Microsoft Office Word</Application>
  <DocSecurity>0</DocSecurity>
  <Lines>11</Lines>
  <Paragraphs>3</Paragraphs>
  <ScaleCrop>false</ScaleCrop>
  <Company>CIB</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Luo Cindy</cp:lastModifiedBy>
  <cp:revision>37</cp:revision>
  <cp:lastPrinted>2022-02-21T08:28:00Z</cp:lastPrinted>
  <dcterms:created xsi:type="dcterms:W3CDTF">2021-10-22T07:07:00Z</dcterms:created>
  <dcterms:modified xsi:type="dcterms:W3CDTF">2022-05-04T06:17:00Z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