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E9FA9" w14:textId="676B594F" w:rsidR="00836C74" w:rsidRPr="00A25EC2" w:rsidRDefault="00836C74" w:rsidP="00836C74">
      <w:pPr>
        <w:spacing w:line="500" w:lineRule="exact"/>
        <w:jc w:val="left"/>
        <w:rPr>
          <w:b/>
          <w:sz w:val="11"/>
          <w:szCs w:val="11"/>
        </w:rPr>
      </w:pPr>
      <w:bookmarkStart w:id="0" w:name="_Hlk102396921"/>
      <w:r w:rsidRPr="00A25EC2">
        <w:rPr>
          <w:b/>
          <w:sz w:val="11"/>
          <w:szCs w:val="11"/>
        </w:rPr>
        <w:t>Code of A Share: 601166             Abbreviation of A Share: Industrial Bank             Announcement Code: TEMP 2022-002</w:t>
      </w:r>
    </w:p>
    <w:p w14:paraId="703FC2D3" w14:textId="77777777" w:rsidR="00836C74" w:rsidRPr="00A25EC2" w:rsidRDefault="00836C74" w:rsidP="00836C74">
      <w:pPr>
        <w:spacing w:line="500" w:lineRule="exact"/>
        <w:jc w:val="left"/>
        <w:rPr>
          <w:b/>
          <w:sz w:val="11"/>
          <w:szCs w:val="11"/>
        </w:rPr>
      </w:pPr>
      <w:r w:rsidRPr="00A25EC2">
        <w:rPr>
          <w:b/>
          <w:sz w:val="11"/>
          <w:szCs w:val="11"/>
        </w:rPr>
        <w:t>Code of Preferred Stock: 360005, 360012, 360032     Abbreviation of Preferred Stock: Industrial Preferred 1, Industrial Preferred 2, Industrial Preferred 3</w:t>
      </w:r>
    </w:p>
    <w:bookmarkEnd w:id="0"/>
    <w:p w14:paraId="4513E4AF" w14:textId="77777777" w:rsidR="00836C74" w:rsidRPr="00196BEF" w:rsidRDefault="00836C74">
      <w:pPr>
        <w:spacing w:line="400" w:lineRule="exact"/>
        <w:ind w:leftChars="-50" w:left="-105"/>
        <w:rPr>
          <w:b/>
          <w:sz w:val="24"/>
          <w:szCs w:val="24"/>
        </w:rPr>
      </w:pPr>
    </w:p>
    <w:p w14:paraId="7EA60F30" w14:textId="77777777" w:rsidR="00B97BEA" w:rsidRPr="00196BEF" w:rsidRDefault="00B97BEA">
      <w:pPr>
        <w:pStyle w:val="aa"/>
        <w:adjustRightInd w:val="0"/>
        <w:snapToGrid w:val="0"/>
        <w:spacing w:before="0" w:beforeAutospacing="0" w:after="0" w:afterAutospacing="0" w:line="360" w:lineRule="auto"/>
        <w:rPr>
          <w:rFonts w:ascii="Times New Roman" w:hAnsi="Times New Roman" w:cs="Times New Roman"/>
          <w:color w:val="000000"/>
          <w:kern w:val="2"/>
          <w:szCs w:val="20"/>
        </w:rPr>
      </w:pPr>
    </w:p>
    <w:p w14:paraId="36326C71" w14:textId="5CF64D43" w:rsidR="00836C74" w:rsidRPr="00196BEF" w:rsidRDefault="00836C74" w:rsidP="00196BEF">
      <w:pPr>
        <w:spacing w:line="360" w:lineRule="auto"/>
        <w:ind w:firstLine="570"/>
        <w:jc w:val="center"/>
        <w:rPr>
          <w:rFonts w:eastAsia="黑体"/>
          <w:color w:val="FF0000"/>
          <w:sz w:val="36"/>
          <w:szCs w:val="36"/>
        </w:rPr>
      </w:pPr>
      <w:r w:rsidRPr="00196BEF">
        <w:rPr>
          <w:rFonts w:eastAsia="黑体"/>
          <w:color w:val="FF0000"/>
          <w:sz w:val="36"/>
          <w:szCs w:val="36"/>
        </w:rPr>
        <w:t>Industrial Bank Co., Ltd.</w:t>
      </w:r>
    </w:p>
    <w:p w14:paraId="5FE78385" w14:textId="566C34D3" w:rsidR="00196BEF" w:rsidRDefault="00196BEF" w:rsidP="00196BEF">
      <w:pPr>
        <w:widowControl/>
        <w:spacing w:line="500" w:lineRule="exact"/>
        <w:ind w:hanging="11"/>
        <w:jc w:val="center"/>
        <w:rPr>
          <w:rFonts w:eastAsia="黑体"/>
          <w:color w:val="FF0000"/>
          <w:sz w:val="36"/>
          <w:szCs w:val="36"/>
        </w:rPr>
      </w:pPr>
      <w:r>
        <w:rPr>
          <w:rFonts w:eastAsia="黑体"/>
          <w:color w:val="FF0000"/>
          <w:sz w:val="36"/>
          <w:szCs w:val="36"/>
        </w:rPr>
        <w:t xml:space="preserve">Preannouncement on 2021 Annual </w:t>
      </w:r>
      <w:r w:rsidR="00DE599F">
        <w:rPr>
          <w:rFonts w:eastAsia="黑体"/>
          <w:color w:val="FF0000"/>
          <w:sz w:val="36"/>
          <w:szCs w:val="36"/>
        </w:rPr>
        <w:t xml:space="preserve">Financial </w:t>
      </w:r>
      <w:r>
        <w:rPr>
          <w:rFonts w:eastAsia="黑体"/>
          <w:color w:val="FF0000"/>
          <w:sz w:val="36"/>
          <w:szCs w:val="36"/>
        </w:rPr>
        <w:t xml:space="preserve">Results </w:t>
      </w:r>
    </w:p>
    <w:p w14:paraId="282E30B2" w14:textId="77777777" w:rsidR="00196BEF" w:rsidRPr="00196BEF" w:rsidRDefault="00196BEF" w:rsidP="00196BEF">
      <w:pPr>
        <w:widowControl/>
        <w:spacing w:line="500" w:lineRule="exact"/>
        <w:ind w:hanging="11"/>
        <w:jc w:val="center"/>
        <w:rPr>
          <w:rFonts w:eastAsia="黑体"/>
          <w:color w:val="FF0000"/>
          <w:sz w:val="36"/>
          <w:szCs w:val="36"/>
        </w:rPr>
      </w:pPr>
    </w:p>
    <w:p w14:paraId="0C30EFFE" w14:textId="1E922727" w:rsidR="0002354A" w:rsidRDefault="00196BEF" w:rsidP="00077DE1">
      <w:pPr>
        <w:spacing w:line="360" w:lineRule="auto"/>
        <w:ind w:firstLineChars="200" w:firstLine="480"/>
        <w:rPr>
          <w:sz w:val="24"/>
          <w:szCs w:val="24"/>
        </w:rPr>
      </w:pPr>
      <w:bookmarkStart w:id="1" w:name="_Hlk102397110"/>
      <w:r w:rsidRPr="00966639">
        <w:rPr>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bookmarkEnd w:id="1"/>
    </w:p>
    <w:p w14:paraId="67F4B418" w14:textId="77777777" w:rsidR="00077DE1" w:rsidRPr="00077DE1" w:rsidRDefault="00077DE1" w:rsidP="00077DE1">
      <w:pPr>
        <w:spacing w:line="360" w:lineRule="auto"/>
        <w:ind w:firstLineChars="200" w:firstLine="480"/>
        <w:rPr>
          <w:sz w:val="24"/>
          <w:szCs w:val="24"/>
        </w:rPr>
      </w:pPr>
    </w:p>
    <w:p w14:paraId="2CDF95BA" w14:textId="5C6398B2" w:rsidR="00B272F6" w:rsidRPr="00196BEF" w:rsidRDefault="0002354A" w:rsidP="0002354A">
      <w:pPr>
        <w:autoSpaceDE w:val="0"/>
        <w:autoSpaceDN w:val="0"/>
        <w:adjustRightInd w:val="0"/>
        <w:snapToGrid w:val="0"/>
        <w:spacing w:line="360" w:lineRule="auto"/>
        <w:ind w:firstLineChars="200" w:firstLine="480"/>
        <w:jc w:val="left"/>
        <w:rPr>
          <w:kern w:val="0"/>
          <w:sz w:val="24"/>
        </w:rPr>
      </w:pPr>
      <w:r w:rsidRPr="0002354A">
        <w:rPr>
          <w:kern w:val="0"/>
          <w:sz w:val="24"/>
        </w:rPr>
        <w:t xml:space="preserve">The key financial data for the year 2021 contained in this announcement are preliminary </w:t>
      </w:r>
      <w:r w:rsidR="00FE052E">
        <w:rPr>
          <w:kern w:val="0"/>
          <w:sz w:val="24"/>
        </w:rPr>
        <w:t xml:space="preserve">consolidated results of the Company </w:t>
      </w:r>
      <w:r w:rsidRPr="0002354A">
        <w:rPr>
          <w:kern w:val="0"/>
          <w:sz w:val="24"/>
        </w:rPr>
        <w:t xml:space="preserve">and have not been audited by an accounting firm. </w:t>
      </w:r>
      <w:r w:rsidR="003D4574">
        <w:rPr>
          <w:kern w:val="0"/>
          <w:sz w:val="24"/>
        </w:rPr>
        <w:t xml:space="preserve">Should there be any discrepancy, the data </w:t>
      </w:r>
      <w:r w:rsidR="00BD6E0C">
        <w:rPr>
          <w:kern w:val="0"/>
          <w:sz w:val="24"/>
        </w:rPr>
        <w:t xml:space="preserve">which will be included in the Company’s </w:t>
      </w:r>
      <w:r w:rsidRPr="0002354A">
        <w:rPr>
          <w:kern w:val="0"/>
          <w:sz w:val="24"/>
        </w:rPr>
        <w:t>2021 annual report</w:t>
      </w:r>
      <w:r w:rsidR="00B129F8">
        <w:rPr>
          <w:kern w:val="0"/>
          <w:sz w:val="24"/>
        </w:rPr>
        <w:t xml:space="preserve"> shall prevail</w:t>
      </w:r>
      <w:r w:rsidRPr="0002354A">
        <w:rPr>
          <w:kern w:val="0"/>
          <w:sz w:val="24"/>
        </w:rPr>
        <w:t>.</w:t>
      </w:r>
      <w:r w:rsidR="00FE052E">
        <w:rPr>
          <w:kern w:val="0"/>
          <w:sz w:val="24"/>
        </w:rPr>
        <w:t xml:space="preserve"> </w:t>
      </w:r>
      <w:r w:rsidR="00B272F6">
        <w:rPr>
          <w:kern w:val="0"/>
          <w:sz w:val="24"/>
        </w:rPr>
        <w:t>Prospective investors should be aware of the potential risks</w:t>
      </w:r>
      <w:r>
        <w:rPr>
          <w:kern w:val="0"/>
          <w:sz w:val="24"/>
        </w:rPr>
        <w:t xml:space="preserve"> in investment. </w:t>
      </w:r>
    </w:p>
    <w:p w14:paraId="50F5E41B" w14:textId="5209BABC" w:rsidR="009F4D31" w:rsidRPr="00196BEF" w:rsidRDefault="009F4D31" w:rsidP="009F4D31">
      <w:pPr>
        <w:pStyle w:val="aa"/>
        <w:numPr>
          <w:ilvl w:val="0"/>
          <w:numId w:val="2"/>
        </w:numPr>
        <w:spacing w:after="0" w:afterAutospacing="0" w:line="360" w:lineRule="auto"/>
        <w:rPr>
          <w:rFonts w:ascii="Times New Roman" w:hAnsi="Times New Roman" w:cs="Times New Roman"/>
        </w:rPr>
      </w:pPr>
      <w:r w:rsidRPr="00196BEF">
        <w:rPr>
          <w:rFonts w:ascii="Times New Roman" w:hAnsi="Times New Roman" w:cs="Times New Roman"/>
        </w:rPr>
        <w:t xml:space="preserve">Key Financial Data and Indicators </w:t>
      </w:r>
    </w:p>
    <w:p w14:paraId="330B1954" w14:textId="5A712A1A" w:rsidR="00B97BEA" w:rsidRPr="00196BEF" w:rsidRDefault="00DD3B65">
      <w:pPr>
        <w:pStyle w:val="aa"/>
        <w:spacing w:before="0" w:beforeAutospacing="0" w:after="0" w:afterAutospacing="0" w:line="400" w:lineRule="exact"/>
        <w:rPr>
          <w:rFonts w:ascii="Times New Roman" w:hAnsi="Times New Roman" w:cs="Times New Roman"/>
        </w:rPr>
      </w:pPr>
      <w:r w:rsidRPr="00196BEF">
        <w:rPr>
          <w:rFonts w:ascii="Times New Roman" w:hAnsi="Times New Roman" w:cs="Times New Roman"/>
        </w:rPr>
        <w:t xml:space="preserve">                                                       </w:t>
      </w:r>
    </w:p>
    <w:p w14:paraId="0B607554" w14:textId="5EF4FE72" w:rsidR="009F4D31" w:rsidRPr="00196BEF" w:rsidRDefault="009F4D31" w:rsidP="009F4D31">
      <w:pPr>
        <w:pStyle w:val="aa"/>
        <w:spacing w:before="0" w:beforeAutospacing="0" w:after="0" w:afterAutospacing="0" w:line="400" w:lineRule="exact"/>
        <w:jc w:val="right"/>
        <w:rPr>
          <w:rFonts w:ascii="Times New Roman" w:hAnsi="Times New Roman" w:cs="Times New Roman"/>
        </w:rPr>
      </w:pPr>
      <w:r w:rsidRPr="00196BEF">
        <w:rPr>
          <w:rFonts w:ascii="Times New Roman" w:hAnsi="Times New Roman" w:cs="Times New Roman"/>
        </w:rPr>
        <w:t xml:space="preserve">Unit: RMB million </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89"/>
        <w:gridCol w:w="2190"/>
        <w:gridCol w:w="1781"/>
      </w:tblGrid>
      <w:tr w:rsidR="00B97BEA" w:rsidRPr="00196BEF" w14:paraId="19275D15" w14:textId="77777777">
        <w:trPr>
          <w:trHeight w:val="624"/>
          <w:jc w:val="center"/>
        </w:trPr>
        <w:tc>
          <w:tcPr>
            <w:tcW w:w="3119" w:type="dxa"/>
            <w:tcBorders>
              <w:top w:val="single" w:sz="4" w:space="0" w:color="auto"/>
              <w:left w:val="single" w:sz="4" w:space="0" w:color="auto"/>
              <w:bottom w:val="single" w:sz="4" w:space="0" w:color="auto"/>
              <w:right w:val="single" w:sz="4" w:space="0" w:color="auto"/>
            </w:tcBorders>
            <w:vAlign w:val="center"/>
          </w:tcPr>
          <w:p w14:paraId="4BD77552" w14:textId="6C7155AE" w:rsidR="00B97BEA" w:rsidRPr="00196BEF" w:rsidRDefault="009F4D31">
            <w:pPr>
              <w:pStyle w:val="aa"/>
              <w:adjustRightInd w:val="0"/>
              <w:snapToGrid w:val="0"/>
              <w:spacing w:beforeLines="15" w:before="46" w:beforeAutospacing="0" w:afterLines="15" w:after="46" w:afterAutospacing="0" w:line="400" w:lineRule="exact"/>
              <w:jc w:val="center"/>
              <w:rPr>
                <w:rFonts w:ascii="Times New Roman" w:hAnsi="Times New Roman" w:cs="Times New Roman"/>
                <w:b/>
              </w:rPr>
            </w:pPr>
            <w:r w:rsidRPr="00196BEF">
              <w:rPr>
                <w:rFonts w:ascii="Times New Roman" w:hAnsi="Times New Roman" w:cs="Times New Roman"/>
                <w:b/>
              </w:rPr>
              <w:t>Items</w:t>
            </w:r>
          </w:p>
        </w:tc>
        <w:tc>
          <w:tcPr>
            <w:tcW w:w="2289" w:type="dxa"/>
            <w:tcBorders>
              <w:top w:val="single" w:sz="4" w:space="0" w:color="auto"/>
              <w:left w:val="single" w:sz="4" w:space="0" w:color="auto"/>
              <w:bottom w:val="single" w:sz="4" w:space="0" w:color="auto"/>
              <w:right w:val="single" w:sz="4" w:space="0" w:color="auto"/>
            </w:tcBorders>
            <w:vAlign w:val="center"/>
          </w:tcPr>
          <w:p w14:paraId="23BCA169" w14:textId="648D9565" w:rsidR="00B97BEA" w:rsidRPr="00196BEF" w:rsidRDefault="009F4D31">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2021</w:t>
            </w:r>
          </w:p>
          <w:p w14:paraId="1688EBB9" w14:textId="7AC68153" w:rsidR="00B97BEA" w:rsidRPr="00196BEF" w:rsidRDefault="00DD3B65">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w:t>
            </w:r>
            <w:r w:rsidR="009F4D31" w:rsidRPr="00196BEF">
              <w:rPr>
                <w:rFonts w:ascii="Times New Roman" w:hAnsi="Times New Roman" w:cs="Times New Roman"/>
                <w:b/>
              </w:rPr>
              <w:t>unaudited</w:t>
            </w:r>
            <w:r w:rsidRPr="00196BEF">
              <w:rPr>
                <w:rFonts w:ascii="Times New Roman" w:hAnsi="Times New Roman" w:cs="Times New Roman"/>
                <w:b/>
              </w:rPr>
              <w:t>)</w:t>
            </w:r>
          </w:p>
        </w:tc>
        <w:tc>
          <w:tcPr>
            <w:tcW w:w="2190" w:type="dxa"/>
            <w:tcBorders>
              <w:top w:val="single" w:sz="4" w:space="0" w:color="auto"/>
              <w:left w:val="single" w:sz="4" w:space="0" w:color="auto"/>
              <w:bottom w:val="single" w:sz="4" w:space="0" w:color="auto"/>
              <w:right w:val="single" w:sz="4" w:space="0" w:color="auto"/>
            </w:tcBorders>
            <w:vAlign w:val="center"/>
          </w:tcPr>
          <w:p w14:paraId="1DC7E2FD" w14:textId="2C5C3BAC" w:rsidR="00B97BEA" w:rsidRPr="00196BEF" w:rsidRDefault="00DD3B65">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2020</w:t>
            </w:r>
          </w:p>
          <w:p w14:paraId="185BC207" w14:textId="47FB72BC" w:rsidR="00B97BEA" w:rsidRPr="00196BEF" w:rsidRDefault="00DD3B65">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w:t>
            </w:r>
            <w:r w:rsidR="009F4D31" w:rsidRPr="00196BEF">
              <w:rPr>
                <w:rFonts w:ascii="Times New Roman" w:hAnsi="Times New Roman" w:cs="Times New Roman"/>
                <w:b/>
              </w:rPr>
              <w:t>audited</w:t>
            </w:r>
            <w:r w:rsidRPr="00196BEF">
              <w:rPr>
                <w:rFonts w:ascii="Times New Roman" w:hAnsi="Times New Roman" w:cs="Times New Roman"/>
                <w:b/>
              </w:rPr>
              <w:t>）</w:t>
            </w:r>
          </w:p>
        </w:tc>
        <w:tc>
          <w:tcPr>
            <w:tcW w:w="1781" w:type="dxa"/>
            <w:tcBorders>
              <w:top w:val="single" w:sz="4" w:space="0" w:color="auto"/>
              <w:left w:val="single" w:sz="4" w:space="0" w:color="auto"/>
              <w:bottom w:val="single" w:sz="4" w:space="0" w:color="auto"/>
              <w:right w:val="single" w:sz="4" w:space="0" w:color="auto"/>
            </w:tcBorders>
            <w:vAlign w:val="center"/>
          </w:tcPr>
          <w:p w14:paraId="132F5047" w14:textId="193598BE" w:rsidR="00B97BEA" w:rsidRPr="00196BEF" w:rsidRDefault="009F4D31">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Changes from the preceding year to this year</w:t>
            </w:r>
            <w:r w:rsidR="00DD3B65" w:rsidRPr="00196BEF">
              <w:rPr>
                <w:rFonts w:ascii="Times New Roman" w:hAnsi="Times New Roman" w:cs="Times New Roman"/>
                <w:b/>
              </w:rPr>
              <w:t>（</w:t>
            </w:r>
            <w:r w:rsidR="00DD3B65" w:rsidRPr="00196BEF">
              <w:rPr>
                <w:rFonts w:ascii="Times New Roman" w:hAnsi="Times New Roman" w:cs="Times New Roman"/>
                <w:b/>
              </w:rPr>
              <w:t>%</w:t>
            </w:r>
            <w:r w:rsidR="00DD3B65" w:rsidRPr="00196BEF">
              <w:rPr>
                <w:rFonts w:ascii="Times New Roman" w:hAnsi="Times New Roman" w:cs="Times New Roman"/>
                <w:b/>
              </w:rPr>
              <w:t>）</w:t>
            </w:r>
          </w:p>
        </w:tc>
      </w:tr>
      <w:tr w:rsidR="00B97BEA" w:rsidRPr="00196BEF" w14:paraId="563FB09B"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162AA554" w14:textId="1B7D95FC" w:rsidR="00B97BEA" w:rsidRPr="00196BEF" w:rsidRDefault="00AA23D3">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 xml:space="preserve">Revenue </w:t>
            </w:r>
          </w:p>
        </w:tc>
        <w:tc>
          <w:tcPr>
            <w:tcW w:w="2289" w:type="dxa"/>
            <w:tcBorders>
              <w:top w:val="single" w:sz="4" w:space="0" w:color="auto"/>
              <w:left w:val="single" w:sz="4" w:space="0" w:color="auto"/>
              <w:bottom w:val="single" w:sz="4" w:space="0" w:color="auto"/>
              <w:right w:val="single" w:sz="4" w:space="0" w:color="auto"/>
            </w:tcBorders>
            <w:vAlign w:val="center"/>
          </w:tcPr>
          <w:p w14:paraId="7D1551EB"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221,236</w:t>
            </w:r>
          </w:p>
        </w:tc>
        <w:tc>
          <w:tcPr>
            <w:tcW w:w="2190" w:type="dxa"/>
            <w:tcBorders>
              <w:top w:val="single" w:sz="4" w:space="0" w:color="auto"/>
              <w:left w:val="single" w:sz="4" w:space="0" w:color="auto"/>
              <w:bottom w:val="single" w:sz="4" w:space="0" w:color="auto"/>
              <w:right w:val="single" w:sz="4" w:space="0" w:color="auto"/>
            </w:tcBorders>
            <w:vAlign w:val="center"/>
          </w:tcPr>
          <w:p w14:paraId="35F48C5F"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203,137</w:t>
            </w:r>
          </w:p>
        </w:tc>
        <w:tc>
          <w:tcPr>
            <w:tcW w:w="1781" w:type="dxa"/>
            <w:tcBorders>
              <w:top w:val="single" w:sz="4" w:space="0" w:color="auto"/>
              <w:left w:val="single" w:sz="4" w:space="0" w:color="auto"/>
              <w:bottom w:val="single" w:sz="4" w:space="0" w:color="auto"/>
              <w:right w:val="single" w:sz="4" w:space="0" w:color="auto"/>
            </w:tcBorders>
            <w:vAlign w:val="center"/>
          </w:tcPr>
          <w:p w14:paraId="01B9F6DA"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8.91</w:t>
            </w:r>
          </w:p>
        </w:tc>
      </w:tr>
      <w:tr w:rsidR="00B97BEA" w:rsidRPr="00196BEF" w14:paraId="5A080A8D"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46718FA" w14:textId="22962EEB" w:rsidR="00B97BEA" w:rsidRPr="00196BEF" w:rsidRDefault="00077DE1">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 xml:space="preserve">rofit before provisions </w:t>
            </w:r>
          </w:p>
        </w:tc>
        <w:tc>
          <w:tcPr>
            <w:tcW w:w="2289" w:type="dxa"/>
            <w:tcBorders>
              <w:top w:val="single" w:sz="4" w:space="0" w:color="auto"/>
              <w:left w:val="single" w:sz="4" w:space="0" w:color="auto"/>
              <w:bottom w:val="single" w:sz="4" w:space="0" w:color="auto"/>
              <w:right w:val="single" w:sz="4" w:space="0" w:color="auto"/>
            </w:tcBorders>
            <w:vAlign w:val="center"/>
          </w:tcPr>
          <w:p w14:paraId="62362A86"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162,209</w:t>
            </w:r>
          </w:p>
        </w:tc>
        <w:tc>
          <w:tcPr>
            <w:tcW w:w="2190" w:type="dxa"/>
            <w:tcBorders>
              <w:top w:val="single" w:sz="4" w:space="0" w:color="auto"/>
              <w:left w:val="single" w:sz="4" w:space="0" w:color="auto"/>
              <w:bottom w:val="single" w:sz="4" w:space="0" w:color="auto"/>
              <w:right w:val="single" w:sz="4" w:space="0" w:color="auto"/>
            </w:tcBorders>
            <w:vAlign w:val="center"/>
          </w:tcPr>
          <w:p w14:paraId="530A529C"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151,974</w:t>
            </w:r>
          </w:p>
        </w:tc>
        <w:tc>
          <w:tcPr>
            <w:tcW w:w="1781" w:type="dxa"/>
            <w:tcBorders>
              <w:top w:val="single" w:sz="4" w:space="0" w:color="auto"/>
              <w:left w:val="single" w:sz="4" w:space="0" w:color="auto"/>
              <w:bottom w:val="single" w:sz="4" w:space="0" w:color="auto"/>
              <w:right w:val="single" w:sz="4" w:space="0" w:color="auto"/>
            </w:tcBorders>
            <w:vAlign w:val="center"/>
          </w:tcPr>
          <w:p w14:paraId="4E101525"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6.73</w:t>
            </w:r>
          </w:p>
        </w:tc>
      </w:tr>
      <w:tr w:rsidR="00B97BEA" w:rsidRPr="00196BEF" w14:paraId="48D4C77A"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0189A276" w14:textId="6DC03EFC" w:rsidR="00077DE1" w:rsidRPr="00196BEF" w:rsidRDefault="00077DE1">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Pr>
                <w:rFonts w:ascii="Times New Roman" w:hAnsi="Times New Roman" w:cs="Times New Roman"/>
              </w:rPr>
              <w:t>Operating profit</w:t>
            </w:r>
          </w:p>
        </w:tc>
        <w:tc>
          <w:tcPr>
            <w:tcW w:w="2289" w:type="dxa"/>
            <w:tcBorders>
              <w:top w:val="single" w:sz="4" w:space="0" w:color="auto"/>
              <w:left w:val="single" w:sz="4" w:space="0" w:color="auto"/>
              <w:bottom w:val="single" w:sz="4" w:space="0" w:color="auto"/>
              <w:right w:val="single" w:sz="4" w:space="0" w:color="auto"/>
            </w:tcBorders>
            <w:vAlign w:val="center"/>
          </w:tcPr>
          <w:p w14:paraId="182A372D"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95,199</w:t>
            </w:r>
          </w:p>
        </w:tc>
        <w:tc>
          <w:tcPr>
            <w:tcW w:w="2190" w:type="dxa"/>
            <w:tcBorders>
              <w:top w:val="single" w:sz="4" w:space="0" w:color="auto"/>
              <w:left w:val="single" w:sz="4" w:space="0" w:color="auto"/>
              <w:bottom w:val="single" w:sz="4" w:space="0" w:color="auto"/>
              <w:right w:val="single" w:sz="4" w:space="0" w:color="auto"/>
            </w:tcBorders>
            <w:vAlign w:val="center"/>
          </w:tcPr>
          <w:p w14:paraId="26937691"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76,547</w:t>
            </w:r>
          </w:p>
        </w:tc>
        <w:tc>
          <w:tcPr>
            <w:tcW w:w="1781" w:type="dxa"/>
            <w:tcBorders>
              <w:top w:val="single" w:sz="4" w:space="0" w:color="auto"/>
              <w:left w:val="single" w:sz="4" w:space="0" w:color="auto"/>
              <w:bottom w:val="single" w:sz="4" w:space="0" w:color="auto"/>
              <w:right w:val="single" w:sz="4" w:space="0" w:color="auto"/>
            </w:tcBorders>
            <w:vAlign w:val="center"/>
          </w:tcPr>
          <w:p w14:paraId="02386704"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24.37</w:t>
            </w:r>
          </w:p>
        </w:tc>
      </w:tr>
      <w:tr w:rsidR="00B97BEA" w:rsidRPr="00196BEF" w14:paraId="54E24593"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5F56C4D" w14:textId="4B5EC825" w:rsidR="00B97BEA" w:rsidRPr="00196BEF" w:rsidRDefault="00077DE1">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 xml:space="preserve">otal profit </w:t>
            </w:r>
          </w:p>
        </w:tc>
        <w:tc>
          <w:tcPr>
            <w:tcW w:w="2289" w:type="dxa"/>
            <w:tcBorders>
              <w:top w:val="single" w:sz="4" w:space="0" w:color="auto"/>
              <w:left w:val="single" w:sz="4" w:space="0" w:color="auto"/>
              <w:bottom w:val="single" w:sz="4" w:space="0" w:color="auto"/>
              <w:right w:val="single" w:sz="4" w:space="0" w:color="auto"/>
            </w:tcBorders>
            <w:vAlign w:val="center"/>
          </w:tcPr>
          <w:p w14:paraId="53489805"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95,310</w:t>
            </w:r>
          </w:p>
        </w:tc>
        <w:tc>
          <w:tcPr>
            <w:tcW w:w="2190" w:type="dxa"/>
            <w:tcBorders>
              <w:top w:val="single" w:sz="4" w:space="0" w:color="auto"/>
              <w:left w:val="single" w:sz="4" w:space="0" w:color="auto"/>
              <w:bottom w:val="single" w:sz="4" w:space="0" w:color="auto"/>
              <w:right w:val="single" w:sz="4" w:space="0" w:color="auto"/>
            </w:tcBorders>
            <w:vAlign w:val="center"/>
          </w:tcPr>
          <w:p w14:paraId="22FCCDB0"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76,637</w:t>
            </w:r>
          </w:p>
        </w:tc>
        <w:tc>
          <w:tcPr>
            <w:tcW w:w="1781" w:type="dxa"/>
            <w:tcBorders>
              <w:top w:val="single" w:sz="4" w:space="0" w:color="auto"/>
              <w:left w:val="single" w:sz="4" w:space="0" w:color="auto"/>
              <w:bottom w:val="single" w:sz="4" w:space="0" w:color="auto"/>
              <w:right w:val="single" w:sz="4" w:space="0" w:color="auto"/>
            </w:tcBorders>
            <w:vAlign w:val="center"/>
          </w:tcPr>
          <w:p w14:paraId="576B928E"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24.37</w:t>
            </w:r>
          </w:p>
        </w:tc>
      </w:tr>
      <w:tr w:rsidR="00B97BEA" w:rsidRPr="00196BEF" w14:paraId="6F216B43"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0793F923" w14:textId="7B0B58FE" w:rsidR="00AA23D3" w:rsidRPr="00196BEF" w:rsidRDefault="00AA23D3">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 xml:space="preserve">Net profit attributable to shareholders of the Parent Company </w:t>
            </w:r>
          </w:p>
        </w:tc>
        <w:tc>
          <w:tcPr>
            <w:tcW w:w="2289" w:type="dxa"/>
            <w:tcBorders>
              <w:top w:val="single" w:sz="4" w:space="0" w:color="auto"/>
              <w:left w:val="single" w:sz="4" w:space="0" w:color="auto"/>
              <w:bottom w:val="single" w:sz="4" w:space="0" w:color="auto"/>
              <w:right w:val="single" w:sz="4" w:space="0" w:color="auto"/>
            </w:tcBorders>
            <w:vAlign w:val="center"/>
          </w:tcPr>
          <w:p w14:paraId="52C97A4C" w14:textId="77777777" w:rsidR="00B97BEA" w:rsidRPr="00196BEF" w:rsidRDefault="00DD3B65">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82,680</w:t>
            </w:r>
          </w:p>
        </w:tc>
        <w:tc>
          <w:tcPr>
            <w:tcW w:w="2190" w:type="dxa"/>
            <w:tcBorders>
              <w:top w:val="single" w:sz="4" w:space="0" w:color="auto"/>
              <w:left w:val="single" w:sz="4" w:space="0" w:color="auto"/>
              <w:bottom w:val="single" w:sz="4" w:space="0" w:color="auto"/>
              <w:right w:val="single" w:sz="4" w:space="0" w:color="auto"/>
            </w:tcBorders>
            <w:vAlign w:val="center"/>
          </w:tcPr>
          <w:p w14:paraId="1665937F" w14:textId="77777777" w:rsidR="00B97BEA" w:rsidRPr="00196BEF" w:rsidRDefault="00DD3B65">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66,626</w:t>
            </w:r>
          </w:p>
        </w:tc>
        <w:tc>
          <w:tcPr>
            <w:tcW w:w="1781" w:type="dxa"/>
            <w:tcBorders>
              <w:top w:val="single" w:sz="4" w:space="0" w:color="auto"/>
              <w:left w:val="single" w:sz="4" w:space="0" w:color="auto"/>
              <w:bottom w:val="single" w:sz="4" w:space="0" w:color="auto"/>
              <w:right w:val="single" w:sz="4" w:space="0" w:color="auto"/>
            </w:tcBorders>
            <w:vAlign w:val="center"/>
          </w:tcPr>
          <w:p w14:paraId="51D83977"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24.10</w:t>
            </w:r>
          </w:p>
        </w:tc>
      </w:tr>
      <w:tr w:rsidR="00B97BEA" w:rsidRPr="00196BEF" w14:paraId="7636F2FB"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701CCBCB" w14:textId="56BD80E7" w:rsidR="001B345F" w:rsidRPr="00196BEF" w:rsidRDefault="001B345F">
            <w:pPr>
              <w:pStyle w:val="aa"/>
              <w:adjustRightInd w:val="0"/>
              <w:snapToGrid w:val="0"/>
              <w:spacing w:before="0" w:beforeAutospacing="0" w:after="0" w:afterAutospacing="0" w:line="400" w:lineRule="exact"/>
              <w:jc w:val="both"/>
              <w:rPr>
                <w:rFonts w:ascii="Times New Roman" w:hAnsi="Times New Roman" w:cs="Times New Roman"/>
              </w:rPr>
            </w:pPr>
            <w:r w:rsidRPr="00196BEF">
              <w:rPr>
                <w:rFonts w:ascii="Times New Roman" w:hAnsi="Times New Roman" w:cs="Times New Roman"/>
              </w:rPr>
              <w:t xml:space="preserve">Net profit after deducting non-recurring </w:t>
            </w:r>
            <w:r w:rsidR="00CE014B">
              <w:rPr>
                <w:rFonts w:ascii="Times New Roman" w:hAnsi="Times New Roman" w:cs="Times New Roman" w:hint="eastAsia"/>
              </w:rPr>
              <w:t>pro</w:t>
            </w:r>
            <w:r w:rsidR="00CE014B">
              <w:rPr>
                <w:rFonts w:ascii="Times New Roman" w:hAnsi="Times New Roman" w:cs="Times New Roman"/>
              </w:rPr>
              <w:t>fit/</w:t>
            </w:r>
            <w:r w:rsidRPr="00196BEF">
              <w:rPr>
                <w:rFonts w:ascii="Times New Roman" w:hAnsi="Times New Roman" w:cs="Times New Roman"/>
              </w:rPr>
              <w:t xml:space="preserve">loss items attributable to shareholders of the Parent Company </w:t>
            </w:r>
          </w:p>
        </w:tc>
        <w:tc>
          <w:tcPr>
            <w:tcW w:w="2289" w:type="dxa"/>
            <w:tcBorders>
              <w:top w:val="single" w:sz="4" w:space="0" w:color="auto"/>
              <w:left w:val="single" w:sz="4" w:space="0" w:color="auto"/>
              <w:bottom w:val="single" w:sz="4" w:space="0" w:color="auto"/>
              <w:right w:val="single" w:sz="4" w:space="0" w:color="auto"/>
            </w:tcBorders>
            <w:vAlign w:val="center"/>
          </w:tcPr>
          <w:p w14:paraId="1BC31EAA" w14:textId="77777777" w:rsidR="00B97BEA" w:rsidRPr="00196BEF" w:rsidRDefault="00DD3B65">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 xml:space="preserve">82,206 </w:t>
            </w:r>
          </w:p>
        </w:tc>
        <w:tc>
          <w:tcPr>
            <w:tcW w:w="2190" w:type="dxa"/>
            <w:tcBorders>
              <w:top w:val="single" w:sz="4" w:space="0" w:color="auto"/>
              <w:left w:val="single" w:sz="4" w:space="0" w:color="auto"/>
              <w:bottom w:val="single" w:sz="4" w:space="0" w:color="auto"/>
              <w:right w:val="single" w:sz="4" w:space="0" w:color="auto"/>
            </w:tcBorders>
            <w:vAlign w:val="center"/>
          </w:tcPr>
          <w:p w14:paraId="277C133C" w14:textId="77777777" w:rsidR="00B97BEA" w:rsidRPr="00196BEF" w:rsidRDefault="00DD3B65">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66,218</w:t>
            </w:r>
          </w:p>
        </w:tc>
        <w:tc>
          <w:tcPr>
            <w:tcW w:w="1781" w:type="dxa"/>
            <w:tcBorders>
              <w:top w:val="single" w:sz="4" w:space="0" w:color="auto"/>
              <w:left w:val="single" w:sz="4" w:space="0" w:color="auto"/>
              <w:bottom w:val="single" w:sz="4" w:space="0" w:color="auto"/>
              <w:right w:val="single" w:sz="4" w:space="0" w:color="auto"/>
            </w:tcBorders>
            <w:vAlign w:val="center"/>
          </w:tcPr>
          <w:p w14:paraId="5DFAB678"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24.14</w:t>
            </w:r>
          </w:p>
        </w:tc>
      </w:tr>
      <w:tr w:rsidR="00B97BEA" w:rsidRPr="00196BEF" w14:paraId="1B130512"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5147BC6" w14:textId="64676CFD" w:rsidR="001B345F" w:rsidRPr="00196BEF" w:rsidRDefault="001B345F">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Basic earnings per share (RMB)</w:t>
            </w:r>
          </w:p>
        </w:tc>
        <w:tc>
          <w:tcPr>
            <w:tcW w:w="2289" w:type="dxa"/>
            <w:tcBorders>
              <w:top w:val="single" w:sz="4" w:space="0" w:color="auto"/>
              <w:left w:val="single" w:sz="4" w:space="0" w:color="auto"/>
              <w:bottom w:val="single" w:sz="4" w:space="0" w:color="auto"/>
              <w:right w:val="single" w:sz="4" w:space="0" w:color="auto"/>
            </w:tcBorders>
            <w:vAlign w:val="center"/>
          </w:tcPr>
          <w:p w14:paraId="6DDD26AE"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3.77</w:t>
            </w:r>
          </w:p>
        </w:tc>
        <w:tc>
          <w:tcPr>
            <w:tcW w:w="2190" w:type="dxa"/>
            <w:tcBorders>
              <w:top w:val="single" w:sz="4" w:space="0" w:color="auto"/>
              <w:left w:val="single" w:sz="4" w:space="0" w:color="auto"/>
              <w:bottom w:val="single" w:sz="4" w:space="0" w:color="auto"/>
              <w:right w:val="single" w:sz="4" w:space="0" w:color="auto"/>
            </w:tcBorders>
            <w:vAlign w:val="center"/>
          </w:tcPr>
          <w:p w14:paraId="5821D38D"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3.08</w:t>
            </w:r>
          </w:p>
        </w:tc>
        <w:tc>
          <w:tcPr>
            <w:tcW w:w="1781" w:type="dxa"/>
            <w:tcBorders>
              <w:top w:val="single" w:sz="4" w:space="0" w:color="auto"/>
              <w:left w:val="single" w:sz="4" w:space="0" w:color="auto"/>
              <w:bottom w:val="single" w:sz="4" w:space="0" w:color="auto"/>
              <w:right w:val="single" w:sz="4" w:space="0" w:color="auto"/>
            </w:tcBorders>
            <w:vAlign w:val="center"/>
          </w:tcPr>
          <w:p w14:paraId="24BDA942" w14:textId="77777777" w:rsidR="00B97BEA" w:rsidRPr="00196BEF" w:rsidRDefault="00DD3B65">
            <w:pPr>
              <w:pStyle w:val="aa"/>
              <w:adjustRightInd w:val="0"/>
              <w:snapToGrid w:val="0"/>
              <w:spacing w:beforeLines="15" w:before="46" w:beforeAutospacing="0" w:afterLines="15" w:after="46" w:afterAutospacing="0" w:line="400" w:lineRule="exact"/>
              <w:jc w:val="right"/>
              <w:rPr>
                <w:rFonts w:ascii="Times New Roman" w:hAnsi="Times New Roman" w:cs="Times New Roman"/>
              </w:rPr>
            </w:pPr>
            <w:r w:rsidRPr="00196BEF">
              <w:rPr>
                <w:rFonts w:ascii="Times New Roman" w:hAnsi="Times New Roman" w:cs="Times New Roman"/>
              </w:rPr>
              <w:t>22.40</w:t>
            </w:r>
          </w:p>
        </w:tc>
      </w:tr>
      <w:tr w:rsidR="00B97BEA" w:rsidRPr="00196BEF" w14:paraId="20624157"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3B650F1" w14:textId="4B4EBF05" w:rsidR="001B345F" w:rsidRPr="00196BEF" w:rsidRDefault="001B345F">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Weighted average returns on net assets (%)</w:t>
            </w:r>
          </w:p>
        </w:tc>
        <w:tc>
          <w:tcPr>
            <w:tcW w:w="2289" w:type="dxa"/>
            <w:tcBorders>
              <w:top w:val="single" w:sz="4" w:space="0" w:color="auto"/>
              <w:left w:val="single" w:sz="4" w:space="0" w:color="auto"/>
              <w:bottom w:val="single" w:sz="4" w:space="0" w:color="auto"/>
              <w:right w:val="single" w:sz="4" w:space="0" w:color="auto"/>
            </w:tcBorders>
            <w:vAlign w:val="center"/>
          </w:tcPr>
          <w:p w14:paraId="444BF961" w14:textId="77777777" w:rsidR="00B97BEA" w:rsidRPr="00196BEF" w:rsidRDefault="00DD3B65">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13.94</w:t>
            </w:r>
          </w:p>
        </w:tc>
        <w:tc>
          <w:tcPr>
            <w:tcW w:w="2190" w:type="dxa"/>
            <w:tcBorders>
              <w:top w:val="single" w:sz="4" w:space="0" w:color="auto"/>
              <w:left w:val="single" w:sz="4" w:space="0" w:color="auto"/>
              <w:bottom w:val="single" w:sz="4" w:space="0" w:color="auto"/>
              <w:right w:val="single" w:sz="4" w:space="0" w:color="auto"/>
            </w:tcBorders>
            <w:vAlign w:val="center"/>
          </w:tcPr>
          <w:p w14:paraId="31AAD12F" w14:textId="77777777" w:rsidR="00B97BEA" w:rsidRPr="00196BEF" w:rsidRDefault="00DD3B65">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12.62</w:t>
            </w:r>
          </w:p>
        </w:tc>
        <w:tc>
          <w:tcPr>
            <w:tcW w:w="1781" w:type="dxa"/>
            <w:tcBorders>
              <w:top w:val="single" w:sz="4" w:space="0" w:color="auto"/>
              <w:left w:val="single" w:sz="4" w:space="0" w:color="auto"/>
              <w:bottom w:val="single" w:sz="4" w:space="0" w:color="auto"/>
              <w:right w:val="single" w:sz="4" w:space="0" w:color="auto"/>
            </w:tcBorders>
          </w:tcPr>
          <w:p w14:paraId="701CEAA2" w14:textId="48945BDE" w:rsidR="00B97BEA" w:rsidRPr="00196BEF" w:rsidRDefault="00CE014B" w:rsidP="00CE014B">
            <w:pPr>
              <w:pStyle w:val="aa"/>
              <w:adjustRightInd w:val="0"/>
              <w:snapToGrid w:val="0"/>
              <w:spacing w:before="0" w:beforeAutospacing="0" w:after="0" w:afterAutospacing="0"/>
              <w:ind w:right="120"/>
              <w:jc w:val="right"/>
              <w:rPr>
                <w:rFonts w:ascii="Times New Roman" w:hAnsi="Times New Roman" w:cs="Times New Roman"/>
              </w:rPr>
            </w:pPr>
            <w:r>
              <w:rPr>
                <w:rFonts w:ascii="Times New Roman" w:hAnsi="Times New Roman" w:cs="Times New Roman"/>
              </w:rPr>
              <w:t xml:space="preserve">Up by </w:t>
            </w:r>
            <w:r w:rsidR="00DD3B65" w:rsidRPr="00196BEF">
              <w:rPr>
                <w:rFonts w:ascii="Times New Roman" w:hAnsi="Times New Roman" w:cs="Times New Roman"/>
              </w:rPr>
              <w:t>1.32</w:t>
            </w:r>
            <w:r>
              <w:rPr>
                <w:rFonts w:ascii="Times New Roman" w:hAnsi="Times New Roman" w:cs="Times New Roman" w:hint="eastAsia"/>
              </w:rPr>
              <w:t xml:space="preserve"> </w:t>
            </w:r>
            <w:r>
              <w:rPr>
                <w:rFonts w:ascii="Times New Roman" w:hAnsi="Times New Roman" w:cs="Times New Roman"/>
              </w:rPr>
              <w:t>percentage points</w:t>
            </w:r>
          </w:p>
        </w:tc>
      </w:tr>
      <w:tr w:rsidR="00706D6F" w:rsidRPr="00196BEF" w14:paraId="72B88242"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7471689D" w14:textId="77777777" w:rsidR="00706D6F" w:rsidRPr="00196BEF" w:rsidRDefault="00706D6F" w:rsidP="00706D6F">
            <w:pPr>
              <w:pStyle w:val="aa"/>
              <w:adjustRightInd w:val="0"/>
              <w:snapToGrid w:val="0"/>
              <w:spacing w:beforeLines="15" w:before="46" w:beforeAutospacing="0" w:afterLines="15" w:after="46" w:afterAutospacing="0" w:line="400" w:lineRule="exact"/>
              <w:jc w:val="center"/>
              <w:rPr>
                <w:rFonts w:ascii="Times New Roman" w:hAnsi="Times New Roman" w:cs="Times New Roman"/>
                <w:b/>
              </w:rPr>
            </w:pPr>
          </w:p>
        </w:tc>
        <w:tc>
          <w:tcPr>
            <w:tcW w:w="2289" w:type="dxa"/>
            <w:tcBorders>
              <w:top w:val="single" w:sz="4" w:space="0" w:color="auto"/>
              <w:left w:val="single" w:sz="4" w:space="0" w:color="auto"/>
              <w:bottom w:val="single" w:sz="4" w:space="0" w:color="auto"/>
              <w:right w:val="single" w:sz="4" w:space="0" w:color="auto"/>
            </w:tcBorders>
            <w:vAlign w:val="center"/>
          </w:tcPr>
          <w:p w14:paraId="441F37B8" w14:textId="61CB4826" w:rsidR="00706D6F" w:rsidRPr="00196BEF" w:rsidRDefault="00706D6F" w:rsidP="00706D6F">
            <w:pPr>
              <w:pStyle w:val="aa"/>
              <w:adjustRightInd w:val="0"/>
              <w:snapToGrid w:val="0"/>
              <w:spacing w:beforeLines="15" w:before="46" w:beforeAutospacing="0" w:afterLines="15" w:after="46" w:afterAutospacing="0"/>
              <w:jc w:val="center"/>
              <w:rPr>
                <w:rFonts w:ascii="Times New Roman" w:hAnsi="Times New Roman" w:cs="Times New Roman"/>
                <w:b/>
              </w:rPr>
            </w:pPr>
            <w:r>
              <w:rPr>
                <w:rFonts w:ascii="Times New Roman" w:hAnsi="Times New Roman" w:cs="Times New Roman"/>
                <w:b/>
              </w:rPr>
              <w:t>As at December 31, 2021</w:t>
            </w:r>
          </w:p>
          <w:p w14:paraId="225D0727" w14:textId="11B4DA41" w:rsidR="00706D6F" w:rsidRPr="00196BEF" w:rsidRDefault="00706D6F" w:rsidP="00706D6F">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w:t>
            </w:r>
            <w:r>
              <w:rPr>
                <w:rFonts w:ascii="Times New Roman" w:hAnsi="Times New Roman" w:cs="Times New Roman" w:hint="eastAsia"/>
                <w:b/>
              </w:rPr>
              <w:t>u</w:t>
            </w:r>
            <w:r>
              <w:rPr>
                <w:rFonts w:ascii="Times New Roman" w:hAnsi="Times New Roman" w:cs="Times New Roman"/>
                <w:b/>
              </w:rPr>
              <w:t>naudited</w:t>
            </w:r>
            <w:r w:rsidRPr="00196BEF">
              <w:rPr>
                <w:rFonts w:ascii="Times New Roman" w:hAnsi="Times New Roman" w:cs="Times New Roman"/>
                <w:b/>
              </w:rPr>
              <w:t>)</w:t>
            </w:r>
          </w:p>
        </w:tc>
        <w:tc>
          <w:tcPr>
            <w:tcW w:w="2190" w:type="dxa"/>
            <w:tcBorders>
              <w:top w:val="single" w:sz="4" w:space="0" w:color="auto"/>
              <w:left w:val="single" w:sz="4" w:space="0" w:color="auto"/>
              <w:bottom w:val="single" w:sz="4" w:space="0" w:color="auto"/>
              <w:right w:val="single" w:sz="4" w:space="0" w:color="auto"/>
            </w:tcBorders>
            <w:vAlign w:val="center"/>
          </w:tcPr>
          <w:p w14:paraId="6AB52781" w14:textId="77777777" w:rsidR="00706D6F" w:rsidRPr="00196BEF" w:rsidRDefault="00706D6F" w:rsidP="00706D6F">
            <w:pPr>
              <w:pStyle w:val="aa"/>
              <w:adjustRightInd w:val="0"/>
              <w:snapToGrid w:val="0"/>
              <w:spacing w:beforeLines="15" w:before="46" w:beforeAutospacing="0" w:afterLines="15" w:after="46" w:afterAutospacing="0"/>
              <w:jc w:val="center"/>
              <w:rPr>
                <w:rFonts w:ascii="Times New Roman" w:hAnsi="Times New Roman" w:cs="Times New Roman"/>
                <w:b/>
              </w:rPr>
            </w:pPr>
            <w:r>
              <w:rPr>
                <w:rFonts w:ascii="Times New Roman" w:hAnsi="Times New Roman" w:cs="Times New Roman"/>
                <w:b/>
              </w:rPr>
              <w:t>As at December 31, 2021</w:t>
            </w:r>
          </w:p>
          <w:p w14:paraId="1720826E" w14:textId="16CCCA0F" w:rsidR="00706D6F" w:rsidRPr="00196BEF" w:rsidRDefault="00706D6F" w:rsidP="00706D6F">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w:t>
            </w:r>
            <w:r>
              <w:rPr>
                <w:rFonts w:ascii="Times New Roman" w:hAnsi="Times New Roman" w:cs="Times New Roman"/>
                <w:b/>
              </w:rPr>
              <w:t>audited</w:t>
            </w:r>
            <w:r w:rsidRPr="00196BEF">
              <w:rPr>
                <w:rFonts w:ascii="Times New Roman" w:hAnsi="Times New Roman" w:cs="Times New Roman"/>
                <w:b/>
              </w:rPr>
              <w:t>)</w:t>
            </w:r>
          </w:p>
        </w:tc>
        <w:tc>
          <w:tcPr>
            <w:tcW w:w="1781" w:type="dxa"/>
            <w:tcBorders>
              <w:top w:val="single" w:sz="4" w:space="0" w:color="auto"/>
              <w:left w:val="single" w:sz="4" w:space="0" w:color="auto"/>
              <w:bottom w:val="single" w:sz="4" w:space="0" w:color="auto"/>
              <w:right w:val="single" w:sz="4" w:space="0" w:color="auto"/>
            </w:tcBorders>
            <w:vAlign w:val="center"/>
          </w:tcPr>
          <w:p w14:paraId="55387A4B" w14:textId="73693E18" w:rsidR="00706D6F" w:rsidRPr="00196BEF" w:rsidRDefault="00706D6F" w:rsidP="00706D6F">
            <w:pPr>
              <w:pStyle w:val="aa"/>
              <w:adjustRightInd w:val="0"/>
              <w:snapToGrid w:val="0"/>
              <w:spacing w:beforeLines="15" w:before="46" w:beforeAutospacing="0" w:afterLines="15" w:after="46" w:afterAutospacing="0"/>
              <w:jc w:val="center"/>
              <w:rPr>
                <w:rFonts w:ascii="Times New Roman" w:hAnsi="Times New Roman" w:cs="Times New Roman"/>
                <w:b/>
              </w:rPr>
            </w:pPr>
            <w:r w:rsidRPr="00196BEF">
              <w:rPr>
                <w:rFonts w:ascii="Times New Roman" w:hAnsi="Times New Roman" w:cs="Times New Roman"/>
                <w:b/>
              </w:rPr>
              <w:t>Changes from the preceding year to this year</w:t>
            </w:r>
            <w:r w:rsidRPr="00196BEF">
              <w:rPr>
                <w:rFonts w:ascii="Times New Roman" w:hAnsi="Times New Roman" w:cs="Times New Roman"/>
                <w:b/>
              </w:rPr>
              <w:t>（</w:t>
            </w:r>
            <w:r w:rsidRPr="00196BEF">
              <w:rPr>
                <w:rFonts w:ascii="Times New Roman" w:hAnsi="Times New Roman" w:cs="Times New Roman"/>
                <w:b/>
              </w:rPr>
              <w:t>%</w:t>
            </w:r>
            <w:r w:rsidRPr="00196BEF">
              <w:rPr>
                <w:rFonts w:ascii="Times New Roman" w:hAnsi="Times New Roman" w:cs="Times New Roman"/>
                <w:b/>
              </w:rPr>
              <w:t>）</w:t>
            </w:r>
          </w:p>
        </w:tc>
      </w:tr>
      <w:tr w:rsidR="00706D6F" w:rsidRPr="00196BEF" w14:paraId="0F05D758"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B6A1736" w14:textId="55474279" w:rsidR="00706D6F" w:rsidRPr="00196BEF" w:rsidRDefault="00706D6F" w:rsidP="00706D6F">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 xml:space="preserve">Total assets </w:t>
            </w:r>
          </w:p>
        </w:tc>
        <w:tc>
          <w:tcPr>
            <w:tcW w:w="2289" w:type="dxa"/>
            <w:tcBorders>
              <w:top w:val="single" w:sz="4" w:space="0" w:color="auto"/>
              <w:left w:val="single" w:sz="4" w:space="0" w:color="auto"/>
              <w:bottom w:val="single" w:sz="4" w:space="0" w:color="auto"/>
              <w:right w:val="single" w:sz="4" w:space="0" w:color="auto"/>
            </w:tcBorders>
            <w:vAlign w:val="center"/>
          </w:tcPr>
          <w:p w14:paraId="20094890" w14:textId="77777777" w:rsidR="00706D6F" w:rsidRPr="00196BEF" w:rsidRDefault="00706D6F" w:rsidP="00706D6F">
            <w:pPr>
              <w:spacing w:line="400" w:lineRule="exact"/>
              <w:jc w:val="right"/>
              <w:rPr>
                <w:kern w:val="0"/>
                <w:sz w:val="24"/>
                <w:szCs w:val="24"/>
              </w:rPr>
            </w:pPr>
            <w:r w:rsidRPr="00196BEF">
              <w:rPr>
                <w:kern w:val="0"/>
                <w:sz w:val="24"/>
                <w:szCs w:val="24"/>
              </w:rPr>
              <w:t>8,601,324</w:t>
            </w:r>
          </w:p>
        </w:tc>
        <w:tc>
          <w:tcPr>
            <w:tcW w:w="2190" w:type="dxa"/>
            <w:tcBorders>
              <w:top w:val="single" w:sz="4" w:space="0" w:color="auto"/>
              <w:left w:val="single" w:sz="4" w:space="0" w:color="auto"/>
              <w:bottom w:val="single" w:sz="4" w:space="0" w:color="auto"/>
              <w:right w:val="single" w:sz="4" w:space="0" w:color="auto"/>
            </w:tcBorders>
            <w:vAlign w:val="center"/>
          </w:tcPr>
          <w:p w14:paraId="1F317CE7" w14:textId="77777777" w:rsidR="00706D6F" w:rsidRPr="00196BEF" w:rsidRDefault="00706D6F" w:rsidP="00706D6F">
            <w:pPr>
              <w:spacing w:line="400" w:lineRule="exact"/>
              <w:jc w:val="right"/>
              <w:rPr>
                <w:kern w:val="0"/>
                <w:sz w:val="24"/>
                <w:szCs w:val="24"/>
              </w:rPr>
            </w:pPr>
            <w:r w:rsidRPr="00196BEF">
              <w:rPr>
                <w:kern w:val="0"/>
                <w:sz w:val="24"/>
                <w:szCs w:val="24"/>
              </w:rPr>
              <w:t>7,894,000</w:t>
            </w:r>
          </w:p>
        </w:tc>
        <w:tc>
          <w:tcPr>
            <w:tcW w:w="1781" w:type="dxa"/>
            <w:tcBorders>
              <w:top w:val="single" w:sz="4" w:space="0" w:color="auto"/>
              <w:left w:val="single" w:sz="4" w:space="0" w:color="auto"/>
              <w:bottom w:val="single" w:sz="4" w:space="0" w:color="auto"/>
              <w:right w:val="single" w:sz="4" w:space="0" w:color="auto"/>
            </w:tcBorders>
            <w:vAlign w:val="center"/>
          </w:tcPr>
          <w:p w14:paraId="4891736C" w14:textId="77777777" w:rsidR="00706D6F" w:rsidRPr="00196BEF" w:rsidRDefault="00706D6F" w:rsidP="00706D6F">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8.96</w:t>
            </w:r>
          </w:p>
        </w:tc>
      </w:tr>
      <w:tr w:rsidR="00706D6F" w:rsidRPr="00196BEF" w14:paraId="15C1B84E"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E230E07" w14:textId="4E912CD2" w:rsidR="00706D6F" w:rsidRPr="00196BEF" w:rsidRDefault="00706D6F" w:rsidP="00706D6F">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otal liabilities </w:t>
            </w:r>
          </w:p>
        </w:tc>
        <w:tc>
          <w:tcPr>
            <w:tcW w:w="2289" w:type="dxa"/>
            <w:tcBorders>
              <w:top w:val="single" w:sz="4" w:space="0" w:color="auto"/>
              <w:left w:val="single" w:sz="4" w:space="0" w:color="auto"/>
              <w:bottom w:val="single" w:sz="4" w:space="0" w:color="auto"/>
              <w:right w:val="single" w:sz="4" w:space="0" w:color="auto"/>
            </w:tcBorders>
            <w:vAlign w:val="center"/>
          </w:tcPr>
          <w:p w14:paraId="51DE122F" w14:textId="77777777" w:rsidR="00706D6F" w:rsidRPr="00196BEF" w:rsidRDefault="00706D6F" w:rsidP="00706D6F">
            <w:pPr>
              <w:spacing w:line="400" w:lineRule="exact"/>
              <w:jc w:val="right"/>
              <w:rPr>
                <w:kern w:val="0"/>
                <w:sz w:val="24"/>
                <w:szCs w:val="24"/>
              </w:rPr>
            </w:pPr>
            <w:r w:rsidRPr="00196BEF">
              <w:rPr>
                <w:kern w:val="0"/>
                <w:sz w:val="24"/>
                <w:szCs w:val="24"/>
              </w:rPr>
              <w:t>7,907,028</w:t>
            </w:r>
          </w:p>
        </w:tc>
        <w:tc>
          <w:tcPr>
            <w:tcW w:w="2190" w:type="dxa"/>
            <w:tcBorders>
              <w:top w:val="single" w:sz="4" w:space="0" w:color="auto"/>
              <w:left w:val="single" w:sz="4" w:space="0" w:color="auto"/>
              <w:bottom w:val="single" w:sz="4" w:space="0" w:color="auto"/>
              <w:right w:val="single" w:sz="4" w:space="0" w:color="auto"/>
            </w:tcBorders>
            <w:vAlign w:val="center"/>
          </w:tcPr>
          <w:p w14:paraId="4F6C87CA" w14:textId="77777777" w:rsidR="00706D6F" w:rsidRPr="00196BEF" w:rsidRDefault="00706D6F" w:rsidP="00706D6F">
            <w:pPr>
              <w:spacing w:line="400" w:lineRule="exact"/>
              <w:jc w:val="right"/>
              <w:rPr>
                <w:kern w:val="0"/>
                <w:sz w:val="24"/>
                <w:szCs w:val="24"/>
              </w:rPr>
            </w:pPr>
            <w:r w:rsidRPr="00196BEF">
              <w:rPr>
                <w:kern w:val="0"/>
                <w:sz w:val="24"/>
                <w:szCs w:val="24"/>
              </w:rPr>
              <w:t>7,269,197</w:t>
            </w:r>
          </w:p>
        </w:tc>
        <w:tc>
          <w:tcPr>
            <w:tcW w:w="1781" w:type="dxa"/>
            <w:tcBorders>
              <w:top w:val="single" w:sz="4" w:space="0" w:color="auto"/>
              <w:left w:val="single" w:sz="4" w:space="0" w:color="auto"/>
              <w:bottom w:val="single" w:sz="4" w:space="0" w:color="auto"/>
              <w:right w:val="single" w:sz="4" w:space="0" w:color="auto"/>
            </w:tcBorders>
            <w:vAlign w:val="center"/>
          </w:tcPr>
          <w:p w14:paraId="11A22DBF"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8.77</w:t>
            </w:r>
          </w:p>
        </w:tc>
      </w:tr>
      <w:tr w:rsidR="00706D6F" w:rsidRPr="00196BEF" w14:paraId="1B697ED1"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3C8397D" w14:textId="3285C1B6" w:rsidR="00706D6F" w:rsidRPr="00196BEF" w:rsidRDefault="00FD20D5" w:rsidP="00706D6F">
            <w:pPr>
              <w:pStyle w:val="aa"/>
              <w:adjustRightInd w:val="0"/>
              <w:snapToGrid w:val="0"/>
              <w:spacing w:before="0" w:beforeAutospacing="0" w:after="0" w:afterAutospacing="0" w:line="400" w:lineRule="exact"/>
              <w:jc w:val="both"/>
              <w:rPr>
                <w:rFonts w:ascii="Times New Roman" w:hAnsi="Times New Roman" w:cs="Times New Roman"/>
              </w:rPr>
            </w:pPr>
            <w:r w:rsidRPr="00FD20D5">
              <w:rPr>
                <w:rFonts w:ascii="Times New Roman" w:hAnsi="Times New Roman" w:cs="Times New Roman"/>
              </w:rPr>
              <w:t xml:space="preserve">Owner's equity attributable to shareholders of the </w:t>
            </w:r>
            <w:r>
              <w:rPr>
                <w:rFonts w:ascii="Times New Roman" w:hAnsi="Times New Roman" w:cs="Times New Roman"/>
              </w:rPr>
              <w:t>P</w:t>
            </w:r>
            <w:r w:rsidRPr="00FD20D5">
              <w:rPr>
                <w:rFonts w:ascii="Times New Roman" w:hAnsi="Times New Roman" w:cs="Times New Roman"/>
              </w:rPr>
              <w:t xml:space="preserve">arent </w:t>
            </w:r>
            <w:r>
              <w:rPr>
                <w:rFonts w:ascii="Times New Roman" w:hAnsi="Times New Roman" w:cs="Times New Roman"/>
              </w:rPr>
              <w:t>C</w:t>
            </w:r>
            <w:r w:rsidRPr="00FD20D5">
              <w:rPr>
                <w:rFonts w:ascii="Times New Roman" w:hAnsi="Times New Roman" w:cs="Times New Roman"/>
              </w:rPr>
              <w:t>ompany</w:t>
            </w:r>
          </w:p>
        </w:tc>
        <w:tc>
          <w:tcPr>
            <w:tcW w:w="2289" w:type="dxa"/>
            <w:tcBorders>
              <w:top w:val="single" w:sz="4" w:space="0" w:color="auto"/>
              <w:left w:val="single" w:sz="4" w:space="0" w:color="auto"/>
              <w:bottom w:val="single" w:sz="4" w:space="0" w:color="auto"/>
              <w:right w:val="single" w:sz="4" w:space="0" w:color="auto"/>
            </w:tcBorders>
            <w:vAlign w:val="center"/>
          </w:tcPr>
          <w:p w14:paraId="7352503E"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684,111</w:t>
            </w:r>
          </w:p>
        </w:tc>
        <w:tc>
          <w:tcPr>
            <w:tcW w:w="2190" w:type="dxa"/>
            <w:tcBorders>
              <w:top w:val="single" w:sz="4" w:space="0" w:color="auto"/>
              <w:left w:val="single" w:sz="4" w:space="0" w:color="auto"/>
              <w:bottom w:val="single" w:sz="4" w:space="0" w:color="auto"/>
              <w:right w:val="single" w:sz="4" w:space="0" w:color="auto"/>
            </w:tcBorders>
            <w:vAlign w:val="center"/>
          </w:tcPr>
          <w:p w14:paraId="37DD4094" w14:textId="77777777" w:rsidR="00706D6F" w:rsidRPr="00196BEF" w:rsidRDefault="00706D6F" w:rsidP="00706D6F">
            <w:pPr>
              <w:spacing w:line="400" w:lineRule="exact"/>
              <w:jc w:val="right"/>
              <w:rPr>
                <w:kern w:val="0"/>
                <w:sz w:val="24"/>
                <w:szCs w:val="24"/>
              </w:rPr>
            </w:pPr>
            <w:r w:rsidRPr="00196BEF">
              <w:rPr>
                <w:kern w:val="0"/>
                <w:sz w:val="24"/>
                <w:szCs w:val="24"/>
              </w:rPr>
              <w:t>615,586</w:t>
            </w:r>
          </w:p>
        </w:tc>
        <w:tc>
          <w:tcPr>
            <w:tcW w:w="1781" w:type="dxa"/>
            <w:tcBorders>
              <w:top w:val="single" w:sz="4" w:space="0" w:color="auto"/>
              <w:left w:val="single" w:sz="4" w:space="0" w:color="auto"/>
              <w:bottom w:val="single" w:sz="4" w:space="0" w:color="auto"/>
              <w:right w:val="single" w:sz="4" w:space="0" w:color="auto"/>
            </w:tcBorders>
            <w:vAlign w:val="center"/>
          </w:tcPr>
          <w:p w14:paraId="3E033087"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11.13</w:t>
            </w:r>
          </w:p>
        </w:tc>
      </w:tr>
      <w:tr w:rsidR="00706D6F" w:rsidRPr="00196BEF" w14:paraId="06E5A6AF"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932CE40" w14:textId="2903CE68" w:rsidR="00706D6F" w:rsidRPr="00196BEF" w:rsidRDefault="00FD20D5" w:rsidP="00706D6F">
            <w:pPr>
              <w:pStyle w:val="aa"/>
              <w:adjustRightInd w:val="0"/>
              <w:snapToGrid w:val="0"/>
              <w:spacing w:before="0" w:beforeAutospacing="0" w:after="0" w:afterAutospacing="0" w:line="400" w:lineRule="exact"/>
              <w:jc w:val="both"/>
              <w:rPr>
                <w:rFonts w:ascii="Times New Roman" w:hAnsi="Times New Roman" w:cs="Times New Roman"/>
              </w:rPr>
            </w:pPr>
            <w:r w:rsidRPr="00FD20D5">
              <w:rPr>
                <w:rFonts w:ascii="Times New Roman" w:hAnsi="Times New Roman" w:cs="Times New Roman"/>
              </w:rPr>
              <w:t xml:space="preserve">Owner's equity attributable to common shareholders of the </w:t>
            </w:r>
            <w:r w:rsidR="008A2902">
              <w:rPr>
                <w:rFonts w:ascii="Times New Roman" w:hAnsi="Times New Roman" w:cs="Times New Roman"/>
              </w:rPr>
              <w:t>P</w:t>
            </w:r>
            <w:r w:rsidRPr="00FD20D5">
              <w:rPr>
                <w:rFonts w:ascii="Times New Roman" w:hAnsi="Times New Roman" w:cs="Times New Roman"/>
              </w:rPr>
              <w:t xml:space="preserve">arent </w:t>
            </w:r>
            <w:r w:rsidR="008A2902">
              <w:rPr>
                <w:rFonts w:ascii="Times New Roman" w:hAnsi="Times New Roman" w:cs="Times New Roman"/>
              </w:rPr>
              <w:t>C</w:t>
            </w:r>
            <w:r w:rsidRPr="00FD20D5">
              <w:rPr>
                <w:rFonts w:ascii="Times New Roman" w:hAnsi="Times New Roman" w:cs="Times New Roman"/>
              </w:rPr>
              <w:t>ompany</w:t>
            </w:r>
          </w:p>
        </w:tc>
        <w:tc>
          <w:tcPr>
            <w:tcW w:w="2289" w:type="dxa"/>
            <w:tcBorders>
              <w:top w:val="single" w:sz="4" w:space="0" w:color="auto"/>
              <w:left w:val="single" w:sz="4" w:space="0" w:color="auto"/>
              <w:bottom w:val="single" w:sz="4" w:space="0" w:color="auto"/>
              <w:right w:val="single" w:sz="4" w:space="0" w:color="auto"/>
            </w:tcBorders>
            <w:vAlign w:val="center"/>
          </w:tcPr>
          <w:p w14:paraId="6D1F3B2C"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598,309</w:t>
            </w:r>
          </w:p>
        </w:tc>
        <w:tc>
          <w:tcPr>
            <w:tcW w:w="2190" w:type="dxa"/>
            <w:tcBorders>
              <w:top w:val="single" w:sz="4" w:space="0" w:color="auto"/>
              <w:left w:val="single" w:sz="4" w:space="0" w:color="auto"/>
              <w:bottom w:val="single" w:sz="4" w:space="0" w:color="auto"/>
              <w:right w:val="single" w:sz="4" w:space="0" w:color="auto"/>
            </w:tcBorders>
            <w:vAlign w:val="center"/>
          </w:tcPr>
          <w:p w14:paraId="622E0397" w14:textId="77777777" w:rsidR="00706D6F" w:rsidRPr="00196BEF" w:rsidRDefault="00706D6F" w:rsidP="00706D6F">
            <w:pPr>
              <w:spacing w:line="400" w:lineRule="exact"/>
              <w:jc w:val="right"/>
              <w:rPr>
                <w:kern w:val="0"/>
                <w:sz w:val="24"/>
                <w:szCs w:val="24"/>
              </w:rPr>
            </w:pPr>
            <w:r w:rsidRPr="00196BEF">
              <w:rPr>
                <w:kern w:val="0"/>
                <w:sz w:val="24"/>
                <w:szCs w:val="24"/>
              </w:rPr>
              <w:t>529,784</w:t>
            </w:r>
          </w:p>
        </w:tc>
        <w:tc>
          <w:tcPr>
            <w:tcW w:w="1781" w:type="dxa"/>
            <w:tcBorders>
              <w:top w:val="single" w:sz="4" w:space="0" w:color="auto"/>
              <w:left w:val="single" w:sz="4" w:space="0" w:color="auto"/>
              <w:bottom w:val="single" w:sz="4" w:space="0" w:color="auto"/>
              <w:right w:val="single" w:sz="4" w:space="0" w:color="auto"/>
            </w:tcBorders>
            <w:vAlign w:val="center"/>
          </w:tcPr>
          <w:p w14:paraId="1A4C9465"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12.93</w:t>
            </w:r>
          </w:p>
        </w:tc>
      </w:tr>
      <w:tr w:rsidR="00706D6F" w:rsidRPr="00196BEF" w14:paraId="4C12E830"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3383FB2" w14:textId="71570E6B" w:rsidR="00706D6F" w:rsidRPr="00196BEF" w:rsidRDefault="00706D6F" w:rsidP="00706D6F">
            <w:pPr>
              <w:pStyle w:val="aa"/>
              <w:adjustRightInd w:val="0"/>
              <w:snapToGrid w:val="0"/>
              <w:spacing w:beforeLines="15" w:before="46" w:beforeAutospacing="0" w:afterLines="15" w:after="46" w:afterAutospacing="0" w:line="400" w:lineRule="exact"/>
              <w:jc w:val="both"/>
              <w:rPr>
                <w:rFonts w:ascii="Times New Roman" w:hAnsi="Times New Roman" w:cs="Times New Roman"/>
              </w:rPr>
            </w:pPr>
            <w:r w:rsidRPr="00196BEF">
              <w:rPr>
                <w:rFonts w:ascii="Times New Roman" w:hAnsi="Times New Roman" w:cs="Times New Roman"/>
              </w:rPr>
              <w:t>Common share capital</w:t>
            </w:r>
          </w:p>
        </w:tc>
        <w:tc>
          <w:tcPr>
            <w:tcW w:w="2289" w:type="dxa"/>
            <w:tcBorders>
              <w:top w:val="single" w:sz="4" w:space="0" w:color="auto"/>
              <w:left w:val="single" w:sz="4" w:space="0" w:color="auto"/>
              <w:bottom w:val="single" w:sz="4" w:space="0" w:color="auto"/>
              <w:right w:val="single" w:sz="4" w:space="0" w:color="auto"/>
            </w:tcBorders>
            <w:vAlign w:val="center"/>
          </w:tcPr>
          <w:p w14:paraId="0FF06B61" w14:textId="77777777" w:rsidR="00706D6F" w:rsidRPr="00196BEF" w:rsidRDefault="00706D6F" w:rsidP="00706D6F">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20,774</w:t>
            </w:r>
          </w:p>
        </w:tc>
        <w:tc>
          <w:tcPr>
            <w:tcW w:w="2190" w:type="dxa"/>
            <w:tcBorders>
              <w:top w:val="single" w:sz="4" w:space="0" w:color="auto"/>
              <w:left w:val="single" w:sz="4" w:space="0" w:color="auto"/>
              <w:bottom w:val="single" w:sz="4" w:space="0" w:color="auto"/>
              <w:right w:val="single" w:sz="4" w:space="0" w:color="auto"/>
            </w:tcBorders>
            <w:vAlign w:val="center"/>
          </w:tcPr>
          <w:p w14:paraId="1554284E" w14:textId="77777777" w:rsidR="00706D6F" w:rsidRPr="00196BEF" w:rsidRDefault="00706D6F" w:rsidP="00706D6F">
            <w:pPr>
              <w:spacing w:line="400" w:lineRule="exact"/>
              <w:jc w:val="right"/>
              <w:rPr>
                <w:sz w:val="24"/>
                <w:szCs w:val="24"/>
              </w:rPr>
            </w:pPr>
            <w:r w:rsidRPr="00196BEF">
              <w:rPr>
                <w:kern w:val="0"/>
                <w:sz w:val="24"/>
                <w:szCs w:val="24"/>
              </w:rPr>
              <w:t>20,774</w:t>
            </w:r>
          </w:p>
        </w:tc>
        <w:tc>
          <w:tcPr>
            <w:tcW w:w="1781" w:type="dxa"/>
            <w:tcBorders>
              <w:top w:val="single" w:sz="4" w:space="0" w:color="auto"/>
              <w:left w:val="single" w:sz="4" w:space="0" w:color="auto"/>
              <w:bottom w:val="single" w:sz="4" w:space="0" w:color="auto"/>
              <w:right w:val="single" w:sz="4" w:space="0" w:color="auto"/>
            </w:tcBorders>
            <w:vAlign w:val="center"/>
          </w:tcPr>
          <w:p w14:paraId="589AF76D" w14:textId="77777777" w:rsidR="00706D6F" w:rsidRPr="00196BEF" w:rsidRDefault="00706D6F" w:rsidP="00706D6F">
            <w:pPr>
              <w:pStyle w:val="aa"/>
              <w:adjustRightInd w:val="0"/>
              <w:snapToGrid w:val="0"/>
              <w:spacing w:beforeLines="15" w:before="46" w:beforeAutospacing="0" w:afterLines="15" w:after="46"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w:t>
            </w:r>
          </w:p>
        </w:tc>
      </w:tr>
      <w:tr w:rsidR="00706D6F" w:rsidRPr="00196BEF" w14:paraId="7B2D677F" w14:textId="77777777">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0C62603E" w14:textId="79AB959F" w:rsidR="00FD20D5" w:rsidRPr="00196BEF" w:rsidRDefault="008A2902" w:rsidP="008A2902">
            <w:pPr>
              <w:pStyle w:val="aa"/>
              <w:adjustRightInd w:val="0"/>
              <w:snapToGrid w:val="0"/>
              <w:spacing w:before="0" w:beforeAutospacing="0" w:after="0" w:afterAutospacing="0"/>
              <w:jc w:val="both"/>
              <w:rPr>
                <w:rFonts w:ascii="Times New Roman" w:hAnsi="Times New Roman" w:cs="Times New Roman"/>
              </w:rPr>
            </w:pPr>
            <w:r w:rsidRPr="008A2902">
              <w:rPr>
                <w:rFonts w:ascii="Times New Roman" w:hAnsi="Times New Roman" w:cs="Times New Roman"/>
              </w:rPr>
              <w:t xml:space="preserve">Net assets per share attributable to </w:t>
            </w:r>
            <w:r>
              <w:rPr>
                <w:rFonts w:ascii="Times New Roman" w:hAnsi="Times New Roman" w:cs="Times New Roman"/>
              </w:rPr>
              <w:t xml:space="preserve">common </w:t>
            </w:r>
            <w:r w:rsidRPr="008A2902">
              <w:rPr>
                <w:rFonts w:ascii="Times New Roman" w:hAnsi="Times New Roman" w:cs="Times New Roman"/>
              </w:rPr>
              <w:t xml:space="preserve">shareholders of the </w:t>
            </w:r>
            <w:r>
              <w:rPr>
                <w:rFonts w:ascii="Times New Roman" w:hAnsi="Times New Roman" w:cs="Times New Roman"/>
              </w:rPr>
              <w:t>P</w:t>
            </w:r>
            <w:r w:rsidRPr="008A2902">
              <w:rPr>
                <w:rFonts w:ascii="Times New Roman" w:hAnsi="Times New Roman" w:cs="Times New Roman"/>
              </w:rPr>
              <w:t xml:space="preserve">arent </w:t>
            </w:r>
            <w:r>
              <w:rPr>
                <w:rFonts w:ascii="Times New Roman" w:hAnsi="Times New Roman" w:cs="Times New Roman"/>
              </w:rPr>
              <w:t>C</w:t>
            </w:r>
            <w:r w:rsidRPr="008A2902">
              <w:rPr>
                <w:rFonts w:ascii="Times New Roman" w:hAnsi="Times New Roman" w:cs="Times New Roman"/>
              </w:rPr>
              <w:t>ompany (</w:t>
            </w:r>
            <w:r>
              <w:rPr>
                <w:rFonts w:ascii="Times New Roman" w:hAnsi="Times New Roman" w:cs="Times New Roman"/>
              </w:rPr>
              <w:t>RMB</w:t>
            </w:r>
            <w:r w:rsidRPr="008A2902">
              <w:rPr>
                <w:rFonts w:ascii="Times New Roman" w:hAnsi="Times New Roman" w:cs="Times New Roman"/>
              </w:rPr>
              <w:t>)</w:t>
            </w:r>
          </w:p>
        </w:tc>
        <w:tc>
          <w:tcPr>
            <w:tcW w:w="2289" w:type="dxa"/>
            <w:tcBorders>
              <w:top w:val="single" w:sz="4" w:space="0" w:color="auto"/>
              <w:left w:val="single" w:sz="4" w:space="0" w:color="auto"/>
              <w:bottom w:val="single" w:sz="4" w:space="0" w:color="auto"/>
              <w:right w:val="single" w:sz="4" w:space="0" w:color="auto"/>
            </w:tcBorders>
            <w:vAlign w:val="center"/>
          </w:tcPr>
          <w:p w14:paraId="3512E618"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28.80</w:t>
            </w:r>
          </w:p>
        </w:tc>
        <w:tc>
          <w:tcPr>
            <w:tcW w:w="2190" w:type="dxa"/>
            <w:tcBorders>
              <w:top w:val="single" w:sz="4" w:space="0" w:color="auto"/>
              <w:left w:val="single" w:sz="4" w:space="0" w:color="auto"/>
              <w:bottom w:val="single" w:sz="4" w:space="0" w:color="auto"/>
              <w:right w:val="single" w:sz="4" w:space="0" w:color="auto"/>
            </w:tcBorders>
            <w:vAlign w:val="center"/>
          </w:tcPr>
          <w:p w14:paraId="3111E9B5" w14:textId="77777777" w:rsidR="00706D6F" w:rsidRPr="00196BEF" w:rsidRDefault="00706D6F" w:rsidP="00706D6F">
            <w:pPr>
              <w:spacing w:line="400" w:lineRule="exact"/>
              <w:jc w:val="right"/>
              <w:rPr>
                <w:kern w:val="0"/>
                <w:sz w:val="24"/>
                <w:szCs w:val="24"/>
              </w:rPr>
            </w:pPr>
            <w:r w:rsidRPr="00196BEF">
              <w:rPr>
                <w:kern w:val="0"/>
                <w:sz w:val="24"/>
                <w:szCs w:val="24"/>
              </w:rPr>
              <w:t>25.50</w:t>
            </w:r>
          </w:p>
        </w:tc>
        <w:tc>
          <w:tcPr>
            <w:tcW w:w="1781" w:type="dxa"/>
            <w:tcBorders>
              <w:top w:val="single" w:sz="4" w:space="0" w:color="auto"/>
              <w:left w:val="single" w:sz="4" w:space="0" w:color="auto"/>
              <w:bottom w:val="single" w:sz="4" w:space="0" w:color="auto"/>
              <w:right w:val="single" w:sz="4" w:space="0" w:color="auto"/>
            </w:tcBorders>
            <w:vAlign w:val="center"/>
          </w:tcPr>
          <w:p w14:paraId="173F8711" w14:textId="77777777" w:rsidR="00706D6F" w:rsidRPr="00196BEF" w:rsidRDefault="00706D6F" w:rsidP="00706D6F">
            <w:pPr>
              <w:pStyle w:val="aa"/>
              <w:adjustRightInd w:val="0"/>
              <w:snapToGrid w:val="0"/>
              <w:spacing w:before="0" w:beforeAutospacing="0" w:after="0" w:afterAutospacing="0" w:line="400" w:lineRule="exact"/>
              <w:ind w:firstLineChars="200" w:firstLine="480"/>
              <w:jc w:val="right"/>
              <w:rPr>
                <w:rFonts w:ascii="Times New Roman" w:hAnsi="Times New Roman" w:cs="Times New Roman"/>
              </w:rPr>
            </w:pPr>
            <w:r w:rsidRPr="00196BEF">
              <w:rPr>
                <w:rFonts w:ascii="Times New Roman" w:hAnsi="Times New Roman" w:cs="Times New Roman"/>
              </w:rPr>
              <w:t>12.93</w:t>
            </w:r>
          </w:p>
        </w:tc>
      </w:tr>
      <w:tr w:rsidR="00706D6F" w:rsidRPr="00196BEF" w14:paraId="7D82B542" w14:textId="77777777">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17E8688D" w14:textId="7D558DB6" w:rsidR="00706D6F" w:rsidRPr="00196BEF" w:rsidRDefault="00706D6F" w:rsidP="00706D6F">
            <w:pPr>
              <w:pStyle w:val="aa"/>
              <w:adjustRightInd w:val="0"/>
              <w:snapToGrid w:val="0"/>
              <w:spacing w:before="0" w:beforeAutospacing="0" w:after="0" w:afterAutospacing="0" w:line="400" w:lineRule="exact"/>
              <w:jc w:val="both"/>
              <w:rPr>
                <w:rFonts w:ascii="Times New Roman" w:hAnsi="Times New Roman" w:cs="Times New Roman"/>
              </w:rPr>
            </w:pPr>
            <w:r w:rsidRPr="00196BEF">
              <w:rPr>
                <w:rFonts w:ascii="Times New Roman" w:hAnsi="Times New Roman" w:cs="Times New Roman"/>
              </w:rPr>
              <w:t xml:space="preserve">Non-performing loan ratio </w:t>
            </w:r>
            <w:r w:rsidR="00FD20D5">
              <w:rPr>
                <w:rFonts w:ascii="Times New Roman" w:hAnsi="Times New Roman" w:cs="Times New Roman"/>
              </w:rPr>
              <w:t>(%)</w:t>
            </w:r>
          </w:p>
        </w:tc>
        <w:tc>
          <w:tcPr>
            <w:tcW w:w="2289" w:type="dxa"/>
            <w:tcBorders>
              <w:top w:val="single" w:sz="4" w:space="0" w:color="auto"/>
              <w:left w:val="single" w:sz="4" w:space="0" w:color="auto"/>
              <w:bottom w:val="single" w:sz="4" w:space="0" w:color="auto"/>
              <w:right w:val="single" w:sz="4" w:space="0" w:color="auto"/>
            </w:tcBorders>
            <w:vAlign w:val="center"/>
          </w:tcPr>
          <w:p w14:paraId="49FFB4FA" w14:textId="77777777" w:rsidR="00706D6F" w:rsidRPr="00196BEF" w:rsidRDefault="00706D6F" w:rsidP="00706D6F">
            <w:pPr>
              <w:widowControl/>
              <w:spacing w:line="400" w:lineRule="exact"/>
              <w:jc w:val="right"/>
              <w:rPr>
                <w:kern w:val="0"/>
                <w:sz w:val="24"/>
                <w:szCs w:val="24"/>
              </w:rPr>
            </w:pPr>
            <w:r w:rsidRPr="00196BEF">
              <w:rPr>
                <w:kern w:val="0"/>
                <w:sz w:val="24"/>
                <w:szCs w:val="24"/>
              </w:rPr>
              <w:t>1.10</w:t>
            </w:r>
          </w:p>
        </w:tc>
        <w:tc>
          <w:tcPr>
            <w:tcW w:w="2190" w:type="dxa"/>
            <w:tcBorders>
              <w:top w:val="single" w:sz="4" w:space="0" w:color="auto"/>
              <w:left w:val="single" w:sz="4" w:space="0" w:color="auto"/>
              <w:bottom w:val="single" w:sz="4" w:space="0" w:color="auto"/>
              <w:right w:val="single" w:sz="4" w:space="0" w:color="auto"/>
            </w:tcBorders>
            <w:vAlign w:val="center"/>
          </w:tcPr>
          <w:p w14:paraId="71CEA6CB" w14:textId="77777777" w:rsidR="00706D6F" w:rsidRPr="00196BEF" w:rsidRDefault="00706D6F" w:rsidP="00706D6F">
            <w:pPr>
              <w:spacing w:line="400" w:lineRule="exact"/>
              <w:jc w:val="right"/>
              <w:rPr>
                <w:kern w:val="0"/>
                <w:sz w:val="24"/>
                <w:szCs w:val="24"/>
              </w:rPr>
            </w:pPr>
            <w:r w:rsidRPr="00196BEF">
              <w:rPr>
                <w:kern w:val="0"/>
                <w:sz w:val="24"/>
                <w:szCs w:val="24"/>
              </w:rPr>
              <w:t>1.25</w:t>
            </w:r>
          </w:p>
        </w:tc>
        <w:tc>
          <w:tcPr>
            <w:tcW w:w="1781" w:type="dxa"/>
            <w:tcBorders>
              <w:top w:val="single" w:sz="4" w:space="0" w:color="auto"/>
              <w:left w:val="single" w:sz="4" w:space="0" w:color="auto"/>
              <w:bottom w:val="single" w:sz="4" w:space="0" w:color="auto"/>
              <w:right w:val="single" w:sz="4" w:space="0" w:color="auto"/>
            </w:tcBorders>
            <w:vAlign w:val="center"/>
          </w:tcPr>
          <w:p w14:paraId="1FE1C0FE" w14:textId="17A1A52C" w:rsidR="00706D6F" w:rsidRPr="00196BEF" w:rsidRDefault="00FD20D5" w:rsidP="00706D6F">
            <w:pPr>
              <w:pStyle w:val="aa"/>
              <w:adjustRightInd w:val="0"/>
              <w:snapToGrid w:val="0"/>
              <w:spacing w:before="0" w:beforeAutospacing="0" w:after="0" w:afterAutospacing="0"/>
              <w:jc w:val="right"/>
              <w:rPr>
                <w:rFonts w:ascii="Times New Roman" w:hAnsi="Times New Roman" w:cs="Times New Roman"/>
              </w:rPr>
            </w:pPr>
            <w:r>
              <w:rPr>
                <w:rFonts w:ascii="Times New Roman" w:hAnsi="Times New Roman" w:cs="Times New Roman"/>
              </w:rPr>
              <w:t xml:space="preserve">Down by </w:t>
            </w:r>
            <w:r w:rsidR="00706D6F" w:rsidRPr="00196BEF">
              <w:rPr>
                <w:rFonts w:ascii="Times New Roman" w:hAnsi="Times New Roman" w:cs="Times New Roman"/>
              </w:rPr>
              <w:t>0.15</w:t>
            </w:r>
            <w:r>
              <w:rPr>
                <w:rFonts w:ascii="Times New Roman" w:hAnsi="Times New Roman" w:cs="Times New Roman"/>
              </w:rPr>
              <w:t xml:space="preserve"> </w:t>
            </w:r>
            <w:r>
              <w:rPr>
                <w:rFonts w:ascii="Times New Roman" w:hAnsi="Times New Roman" w:cs="Times New Roman" w:hint="eastAsia"/>
              </w:rPr>
              <w:t>p</w:t>
            </w:r>
            <w:r>
              <w:rPr>
                <w:rFonts w:ascii="Times New Roman" w:hAnsi="Times New Roman" w:cs="Times New Roman"/>
              </w:rPr>
              <w:t>ercentage points</w:t>
            </w:r>
          </w:p>
          <w:p w14:paraId="32B5A4DE" w14:textId="2F4A3E56" w:rsidR="00706D6F" w:rsidRPr="00196BEF" w:rsidRDefault="00706D6F" w:rsidP="00706D6F">
            <w:pPr>
              <w:pStyle w:val="aa"/>
              <w:adjustRightInd w:val="0"/>
              <w:snapToGrid w:val="0"/>
              <w:spacing w:before="0" w:beforeAutospacing="0" w:after="0" w:afterAutospacing="0"/>
              <w:jc w:val="right"/>
              <w:rPr>
                <w:rFonts w:ascii="Times New Roman" w:hAnsi="Times New Roman" w:cs="Times New Roman"/>
              </w:rPr>
            </w:pPr>
          </w:p>
        </w:tc>
      </w:tr>
      <w:tr w:rsidR="00706D6F" w:rsidRPr="00196BEF" w14:paraId="22BA7752" w14:textId="77777777">
        <w:trPr>
          <w:trHeight w:val="346"/>
          <w:jc w:val="center"/>
        </w:trPr>
        <w:tc>
          <w:tcPr>
            <w:tcW w:w="3119" w:type="dxa"/>
            <w:tcBorders>
              <w:top w:val="single" w:sz="4" w:space="0" w:color="auto"/>
              <w:left w:val="single" w:sz="4" w:space="0" w:color="auto"/>
              <w:bottom w:val="single" w:sz="4" w:space="0" w:color="auto"/>
              <w:right w:val="single" w:sz="4" w:space="0" w:color="auto"/>
            </w:tcBorders>
            <w:vAlign w:val="center"/>
          </w:tcPr>
          <w:p w14:paraId="1A70924D" w14:textId="7C389F33" w:rsidR="00706D6F" w:rsidRPr="00196BEF" w:rsidRDefault="00706D6F" w:rsidP="00706D6F">
            <w:pPr>
              <w:pStyle w:val="aa"/>
              <w:adjustRightInd w:val="0"/>
              <w:snapToGrid w:val="0"/>
              <w:spacing w:before="0" w:beforeAutospacing="0" w:after="0" w:afterAutospacing="0" w:line="400" w:lineRule="exact"/>
              <w:jc w:val="both"/>
              <w:rPr>
                <w:rFonts w:ascii="Times New Roman" w:hAnsi="Times New Roman" w:cs="Times New Roman"/>
              </w:rPr>
            </w:pPr>
            <w:r w:rsidRPr="00196BEF">
              <w:rPr>
                <w:rFonts w:ascii="Times New Roman" w:hAnsi="Times New Roman" w:cs="Times New Roman"/>
                <w:bCs/>
              </w:rPr>
              <w:lastRenderedPageBreak/>
              <w:t>Provision coverage (%)</w:t>
            </w:r>
          </w:p>
        </w:tc>
        <w:tc>
          <w:tcPr>
            <w:tcW w:w="2289" w:type="dxa"/>
            <w:tcBorders>
              <w:top w:val="single" w:sz="4" w:space="0" w:color="auto"/>
              <w:left w:val="single" w:sz="4" w:space="0" w:color="auto"/>
              <w:bottom w:val="single" w:sz="4" w:space="0" w:color="auto"/>
              <w:right w:val="single" w:sz="4" w:space="0" w:color="auto"/>
            </w:tcBorders>
            <w:vAlign w:val="center"/>
          </w:tcPr>
          <w:p w14:paraId="6BA9480C" w14:textId="77777777" w:rsidR="00706D6F" w:rsidRPr="00196BEF" w:rsidRDefault="00706D6F" w:rsidP="00706D6F">
            <w:pPr>
              <w:widowControl/>
              <w:spacing w:line="400" w:lineRule="exact"/>
              <w:jc w:val="right"/>
              <w:rPr>
                <w:kern w:val="0"/>
                <w:sz w:val="24"/>
                <w:szCs w:val="24"/>
              </w:rPr>
            </w:pPr>
            <w:r w:rsidRPr="00196BEF">
              <w:rPr>
                <w:kern w:val="0"/>
                <w:sz w:val="24"/>
                <w:szCs w:val="24"/>
              </w:rPr>
              <w:t>268.73</w:t>
            </w:r>
          </w:p>
        </w:tc>
        <w:tc>
          <w:tcPr>
            <w:tcW w:w="2190" w:type="dxa"/>
            <w:tcBorders>
              <w:top w:val="single" w:sz="4" w:space="0" w:color="auto"/>
              <w:left w:val="single" w:sz="4" w:space="0" w:color="auto"/>
              <w:bottom w:val="single" w:sz="4" w:space="0" w:color="auto"/>
              <w:right w:val="single" w:sz="4" w:space="0" w:color="auto"/>
            </w:tcBorders>
            <w:vAlign w:val="center"/>
          </w:tcPr>
          <w:p w14:paraId="583DD76A" w14:textId="77777777" w:rsidR="00706D6F" w:rsidRPr="00196BEF" w:rsidRDefault="00706D6F" w:rsidP="00706D6F">
            <w:pPr>
              <w:spacing w:line="400" w:lineRule="exact"/>
              <w:jc w:val="right"/>
              <w:rPr>
                <w:kern w:val="0"/>
                <w:sz w:val="24"/>
                <w:szCs w:val="24"/>
              </w:rPr>
            </w:pPr>
            <w:r w:rsidRPr="00196BEF">
              <w:rPr>
                <w:kern w:val="0"/>
                <w:sz w:val="24"/>
                <w:szCs w:val="24"/>
              </w:rPr>
              <w:t>218.83</w:t>
            </w:r>
          </w:p>
        </w:tc>
        <w:tc>
          <w:tcPr>
            <w:tcW w:w="1781" w:type="dxa"/>
            <w:tcBorders>
              <w:top w:val="single" w:sz="4" w:space="0" w:color="auto"/>
              <w:left w:val="single" w:sz="4" w:space="0" w:color="auto"/>
              <w:bottom w:val="single" w:sz="4" w:space="0" w:color="auto"/>
              <w:right w:val="single" w:sz="4" w:space="0" w:color="auto"/>
            </w:tcBorders>
            <w:vAlign w:val="center"/>
          </w:tcPr>
          <w:p w14:paraId="127EBA36" w14:textId="21A360B5" w:rsidR="00706D6F" w:rsidRPr="00196BEF" w:rsidRDefault="00E03614" w:rsidP="00E03614">
            <w:pPr>
              <w:pStyle w:val="aa"/>
              <w:adjustRightInd w:val="0"/>
              <w:snapToGrid w:val="0"/>
              <w:spacing w:before="0" w:beforeAutospacing="0" w:after="0" w:afterAutospacing="0"/>
              <w:jc w:val="right"/>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 xml:space="preserve">p by </w:t>
            </w:r>
            <w:r w:rsidR="00706D6F" w:rsidRPr="00196BEF">
              <w:rPr>
                <w:rFonts w:ascii="Times New Roman" w:hAnsi="Times New Roman" w:cs="Times New Roman"/>
              </w:rPr>
              <w:t>49.90</w:t>
            </w:r>
            <w:r>
              <w:rPr>
                <w:rFonts w:ascii="Times New Roman" w:hAnsi="Times New Roman" w:cs="Times New Roman"/>
              </w:rPr>
              <w:t xml:space="preserve"> percentage points </w:t>
            </w:r>
          </w:p>
        </w:tc>
      </w:tr>
    </w:tbl>
    <w:p w14:paraId="74A6CF4A" w14:textId="3F2DFBEB" w:rsidR="00E03614" w:rsidRPr="00196BEF" w:rsidRDefault="00E03614" w:rsidP="009E0B16">
      <w:pPr>
        <w:spacing w:line="400" w:lineRule="exact"/>
        <w:ind w:firstLineChars="200" w:firstLine="420"/>
        <w:rPr>
          <w:szCs w:val="21"/>
        </w:rPr>
      </w:pPr>
      <w:r w:rsidRPr="00E03614">
        <w:rPr>
          <w:szCs w:val="21"/>
        </w:rPr>
        <w:t>Note: Earnings per share and weighted</w:t>
      </w:r>
      <w:r>
        <w:rPr>
          <w:szCs w:val="21"/>
        </w:rPr>
        <w:t xml:space="preserve"> </w:t>
      </w:r>
      <w:r w:rsidRPr="00E03614">
        <w:rPr>
          <w:szCs w:val="21"/>
        </w:rPr>
        <w:t xml:space="preserve">average return on net assets are calculated in accordance with </w:t>
      </w:r>
      <w:r w:rsidRPr="009E0B16">
        <w:rPr>
          <w:i/>
          <w:iCs/>
          <w:szCs w:val="21"/>
        </w:rPr>
        <w:t xml:space="preserve">the </w:t>
      </w:r>
      <w:r w:rsidR="009E0B16" w:rsidRPr="009E0B16">
        <w:rPr>
          <w:i/>
          <w:iCs/>
          <w:szCs w:val="21"/>
        </w:rPr>
        <w:t xml:space="preserve">No.9 </w:t>
      </w:r>
      <w:r w:rsidR="00965F45" w:rsidRPr="009E0B16">
        <w:rPr>
          <w:i/>
          <w:iCs/>
          <w:szCs w:val="21"/>
        </w:rPr>
        <w:t>Guidelines for</w:t>
      </w:r>
      <w:r w:rsidRPr="009E0B16">
        <w:rPr>
          <w:i/>
          <w:iCs/>
          <w:szCs w:val="21"/>
        </w:rPr>
        <w:t xml:space="preserve"> the Preparation of Information Disclosures by Companies Issuing Public Securities</w:t>
      </w:r>
      <w:r w:rsidR="009E0B16" w:rsidRPr="009E0B16">
        <w:rPr>
          <w:i/>
          <w:iCs/>
          <w:szCs w:val="21"/>
        </w:rPr>
        <w:t>—</w:t>
      </w:r>
      <w:r w:rsidRPr="009E0B16">
        <w:rPr>
          <w:i/>
          <w:iCs/>
          <w:szCs w:val="21"/>
        </w:rPr>
        <w:t>Calculation and Disclosure of Return on Net Assets and Earnings per Share (</w:t>
      </w:r>
      <w:r w:rsidR="00194F42">
        <w:rPr>
          <w:i/>
          <w:iCs/>
          <w:szCs w:val="21"/>
        </w:rPr>
        <w:t xml:space="preserve">2010 </w:t>
      </w:r>
      <w:r w:rsidR="009E0B16">
        <w:rPr>
          <w:i/>
          <w:iCs/>
          <w:szCs w:val="21"/>
        </w:rPr>
        <w:t>R</w:t>
      </w:r>
      <w:r w:rsidRPr="009E0B16">
        <w:rPr>
          <w:i/>
          <w:iCs/>
          <w:szCs w:val="21"/>
        </w:rPr>
        <w:t xml:space="preserve">evised </w:t>
      </w:r>
      <w:r w:rsidR="00194F42">
        <w:rPr>
          <w:i/>
          <w:iCs/>
          <w:szCs w:val="21"/>
        </w:rPr>
        <w:t>Version</w:t>
      </w:r>
      <w:r w:rsidRPr="009E0B16">
        <w:rPr>
          <w:i/>
          <w:iCs/>
          <w:szCs w:val="21"/>
        </w:rPr>
        <w:t>),</w:t>
      </w:r>
      <w:r w:rsidRPr="00E03614">
        <w:rPr>
          <w:szCs w:val="21"/>
        </w:rPr>
        <w:t xml:space="preserve"> </w:t>
      </w:r>
      <w:r w:rsidR="00194F42">
        <w:rPr>
          <w:szCs w:val="21"/>
        </w:rPr>
        <w:t xml:space="preserve">factoring in </w:t>
      </w:r>
      <w:r w:rsidRPr="00E03614">
        <w:rPr>
          <w:szCs w:val="21"/>
        </w:rPr>
        <w:t xml:space="preserve">the </w:t>
      </w:r>
      <w:r w:rsidR="002871BD">
        <w:rPr>
          <w:szCs w:val="21"/>
        </w:rPr>
        <w:t>ramifications</w:t>
      </w:r>
      <w:r w:rsidRPr="00E03614">
        <w:rPr>
          <w:szCs w:val="21"/>
        </w:rPr>
        <w:t xml:space="preserve"> of </w:t>
      </w:r>
      <w:r w:rsidR="009B488C">
        <w:rPr>
          <w:szCs w:val="21"/>
        </w:rPr>
        <w:t xml:space="preserve">paying </w:t>
      </w:r>
      <w:r w:rsidRPr="00E03614">
        <w:rPr>
          <w:szCs w:val="21"/>
        </w:rPr>
        <w:t>preferred share</w:t>
      </w:r>
      <w:r w:rsidR="009B488C">
        <w:rPr>
          <w:szCs w:val="21"/>
        </w:rPr>
        <w:t xml:space="preserve"> dividends</w:t>
      </w:r>
      <w:r w:rsidRPr="00E03614">
        <w:rPr>
          <w:szCs w:val="21"/>
        </w:rPr>
        <w:t xml:space="preserve"> and interest </w:t>
      </w:r>
      <w:r w:rsidR="009B488C">
        <w:rPr>
          <w:szCs w:val="21"/>
        </w:rPr>
        <w:t>interests of</w:t>
      </w:r>
      <w:r w:rsidRPr="00E03614">
        <w:rPr>
          <w:szCs w:val="21"/>
        </w:rPr>
        <w:t xml:space="preserve"> perpetual bonds.</w:t>
      </w:r>
    </w:p>
    <w:p w14:paraId="3341E666" w14:textId="73D28208" w:rsidR="00472E63" w:rsidRPr="00196BEF" w:rsidRDefault="00472E63">
      <w:pPr>
        <w:spacing w:line="360" w:lineRule="auto"/>
        <w:ind w:firstLineChars="200" w:firstLine="480"/>
      </w:pPr>
      <w:r w:rsidRPr="00196BEF">
        <w:rPr>
          <w:sz w:val="24"/>
        </w:rPr>
        <w:t xml:space="preserve">II. Description of Business Performance and Financial Position </w:t>
      </w:r>
    </w:p>
    <w:p w14:paraId="1E40606C" w14:textId="284333A9" w:rsidR="00B02D18" w:rsidRPr="00196BEF" w:rsidRDefault="00B02D18">
      <w:pPr>
        <w:spacing w:line="360" w:lineRule="auto"/>
        <w:ind w:firstLineChars="200" w:firstLine="480"/>
        <w:rPr>
          <w:sz w:val="24"/>
        </w:rPr>
      </w:pPr>
      <w:r w:rsidRPr="00B02D18">
        <w:rPr>
          <w:sz w:val="24"/>
        </w:rPr>
        <w:t xml:space="preserve">During the reporting period, </w:t>
      </w:r>
      <w:r>
        <w:rPr>
          <w:sz w:val="24"/>
        </w:rPr>
        <w:t xml:space="preserve">in response </w:t>
      </w:r>
      <w:r w:rsidRPr="00B02D18">
        <w:rPr>
          <w:sz w:val="24"/>
        </w:rPr>
        <w:t xml:space="preserve">to the changes and the challenges </w:t>
      </w:r>
      <w:r>
        <w:rPr>
          <w:sz w:val="24"/>
        </w:rPr>
        <w:t>posed by</w:t>
      </w:r>
      <w:r w:rsidRPr="00B02D18">
        <w:rPr>
          <w:sz w:val="24"/>
        </w:rPr>
        <w:t xml:space="preserve"> the </w:t>
      </w:r>
      <w:r>
        <w:rPr>
          <w:sz w:val="24"/>
        </w:rPr>
        <w:t>pandemic</w:t>
      </w:r>
      <w:r w:rsidRPr="00B02D18">
        <w:rPr>
          <w:sz w:val="24"/>
        </w:rPr>
        <w:t xml:space="preserve">, </w:t>
      </w:r>
      <w:r>
        <w:rPr>
          <w:sz w:val="24"/>
        </w:rPr>
        <w:t xml:space="preserve">the Company </w:t>
      </w:r>
      <w:r w:rsidR="003375BA">
        <w:rPr>
          <w:sz w:val="24"/>
        </w:rPr>
        <w:t xml:space="preserve">earnestly </w:t>
      </w:r>
      <w:r w:rsidRPr="00B02D18">
        <w:rPr>
          <w:sz w:val="24"/>
        </w:rPr>
        <w:t>implemented the national macro-control policies and</w:t>
      </w:r>
      <w:r>
        <w:rPr>
          <w:sz w:val="24"/>
        </w:rPr>
        <w:t xml:space="preserve"> fulfilled</w:t>
      </w:r>
      <w:r w:rsidRPr="00B02D18">
        <w:rPr>
          <w:sz w:val="24"/>
        </w:rPr>
        <w:t xml:space="preserve"> financial regulatory requirements</w:t>
      </w:r>
      <w:r w:rsidR="003375BA">
        <w:rPr>
          <w:sz w:val="24"/>
        </w:rPr>
        <w:t xml:space="preserve">. By following the </w:t>
      </w:r>
      <w:r w:rsidRPr="00B02D18">
        <w:rPr>
          <w:sz w:val="24"/>
        </w:rPr>
        <w:t xml:space="preserve">1234 </w:t>
      </w:r>
      <w:r w:rsidR="003375BA">
        <w:rPr>
          <w:sz w:val="24"/>
        </w:rPr>
        <w:t>D</w:t>
      </w:r>
      <w:r w:rsidRPr="00B02D18">
        <w:rPr>
          <w:sz w:val="24"/>
        </w:rPr>
        <w:t xml:space="preserve">evelopment </w:t>
      </w:r>
      <w:r w:rsidR="003375BA">
        <w:rPr>
          <w:sz w:val="24"/>
        </w:rPr>
        <w:t>S</w:t>
      </w:r>
      <w:r w:rsidRPr="00B02D18">
        <w:rPr>
          <w:sz w:val="24"/>
        </w:rPr>
        <w:t xml:space="preserve">trategy, </w:t>
      </w:r>
      <w:r w:rsidR="003375BA">
        <w:rPr>
          <w:sz w:val="24"/>
        </w:rPr>
        <w:t>the Company strives to</w:t>
      </w:r>
      <w:r w:rsidR="00E70B75">
        <w:rPr>
          <w:sz w:val="24"/>
        </w:rPr>
        <w:t xml:space="preserve"> </w:t>
      </w:r>
      <w:r w:rsidR="005256F1">
        <w:rPr>
          <w:sz w:val="24"/>
        </w:rPr>
        <w:t>unlock the synergy of scale, efficiency and quality by</w:t>
      </w:r>
      <w:r w:rsidR="003375BA">
        <w:rPr>
          <w:sz w:val="24"/>
        </w:rPr>
        <w:t xml:space="preserve"> </w:t>
      </w:r>
      <w:r w:rsidR="00E70B75">
        <w:rPr>
          <w:sz w:val="24"/>
        </w:rPr>
        <w:t>push</w:t>
      </w:r>
      <w:r w:rsidR="005256F1">
        <w:rPr>
          <w:sz w:val="24"/>
        </w:rPr>
        <w:t>ing</w:t>
      </w:r>
      <w:r w:rsidR="00E70B75">
        <w:rPr>
          <w:sz w:val="24"/>
        </w:rPr>
        <w:t xml:space="preserve"> forward</w:t>
      </w:r>
      <w:r w:rsidRPr="00B02D18">
        <w:rPr>
          <w:sz w:val="24"/>
        </w:rPr>
        <w:t xml:space="preserve"> high-quality </w:t>
      </w:r>
      <w:r w:rsidR="00E70B75">
        <w:rPr>
          <w:sz w:val="24"/>
        </w:rPr>
        <w:t xml:space="preserve">growth with ongoing efforts in optimizing </w:t>
      </w:r>
      <w:r w:rsidRPr="00B02D18">
        <w:rPr>
          <w:sz w:val="24"/>
        </w:rPr>
        <w:t>the business structure.</w:t>
      </w:r>
    </w:p>
    <w:p w14:paraId="74D56A70" w14:textId="235450FE" w:rsidR="00B97BEA" w:rsidRPr="00196BEF" w:rsidRDefault="00DB6CE8">
      <w:pPr>
        <w:spacing w:line="360" w:lineRule="auto"/>
        <w:ind w:firstLineChars="200" w:firstLine="480"/>
        <w:rPr>
          <w:sz w:val="24"/>
        </w:rPr>
      </w:pPr>
      <w:r w:rsidRPr="00DB6CE8">
        <w:rPr>
          <w:sz w:val="24"/>
        </w:rPr>
        <w:t xml:space="preserve">In 2021, the total profit </w:t>
      </w:r>
      <w:r w:rsidR="00806E66">
        <w:rPr>
          <w:sz w:val="24"/>
        </w:rPr>
        <w:t>o</w:t>
      </w:r>
      <w:r w:rsidR="00A63514">
        <w:rPr>
          <w:sz w:val="24"/>
        </w:rPr>
        <w:t xml:space="preserve">f </w:t>
      </w:r>
      <w:r w:rsidR="00806E66">
        <w:rPr>
          <w:sz w:val="24"/>
        </w:rPr>
        <w:t>the Company reached</w:t>
      </w:r>
      <w:r w:rsidRPr="00DB6CE8">
        <w:rPr>
          <w:sz w:val="24"/>
        </w:rPr>
        <w:t xml:space="preserve"> RMB 95,310</w:t>
      </w:r>
      <w:r>
        <w:rPr>
          <w:sz w:val="24"/>
        </w:rPr>
        <w:t>,000</w:t>
      </w:r>
      <w:r w:rsidR="00806E66">
        <w:rPr>
          <w:sz w:val="24"/>
        </w:rPr>
        <w:t>,000</w:t>
      </w:r>
      <w:r w:rsidRPr="00DB6CE8">
        <w:rPr>
          <w:sz w:val="24"/>
        </w:rPr>
        <w:t xml:space="preserve">, up </w:t>
      </w:r>
      <w:r w:rsidR="00A63514">
        <w:rPr>
          <w:sz w:val="24"/>
        </w:rPr>
        <w:t xml:space="preserve">by </w:t>
      </w:r>
      <w:r w:rsidRPr="00DB6CE8">
        <w:rPr>
          <w:sz w:val="24"/>
        </w:rPr>
        <w:t>24.37% year-on-year</w:t>
      </w:r>
      <w:r w:rsidR="00A63514">
        <w:rPr>
          <w:sz w:val="24"/>
        </w:rPr>
        <w:t>. N</w:t>
      </w:r>
      <w:r w:rsidRPr="00DB6CE8">
        <w:rPr>
          <w:sz w:val="24"/>
        </w:rPr>
        <w:t xml:space="preserve">et profit attributable to shareholders of the </w:t>
      </w:r>
      <w:r w:rsidR="00A63514">
        <w:rPr>
          <w:sz w:val="24"/>
        </w:rPr>
        <w:t>P</w:t>
      </w:r>
      <w:r w:rsidRPr="00DB6CE8">
        <w:rPr>
          <w:sz w:val="24"/>
        </w:rPr>
        <w:t xml:space="preserve">arent </w:t>
      </w:r>
      <w:r w:rsidR="00A63514">
        <w:rPr>
          <w:sz w:val="24"/>
        </w:rPr>
        <w:t>C</w:t>
      </w:r>
      <w:r w:rsidRPr="00DB6CE8">
        <w:rPr>
          <w:sz w:val="24"/>
        </w:rPr>
        <w:t xml:space="preserve">ompany </w:t>
      </w:r>
      <w:r w:rsidR="00A63514">
        <w:rPr>
          <w:sz w:val="24"/>
        </w:rPr>
        <w:t>stood at</w:t>
      </w:r>
      <w:r w:rsidRPr="00DB6CE8">
        <w:rPr>
          <w:sz w:val="24"/>
        </w:rPr>
        <w:t xml:space="preserve"> RMB 82,680</w:t>
      </w:r>
      <w:r w:rsidR="00A63514">
        <w:rPr>
          <w:sz w:val="24"/>
        </w:rPr>
        <w:t>,000,000</w:t>
      </w:r>
      <w:r w:rsidRPr="00DB6CE8">
        <w:rPr>
          <w:sz w:val="24"/>
        </w:rPr>
        <w:t xml:space="preserve">, </w:t>
      </w:r>
      <w:r w:rsidR="00A63514">
        <w:rPr>
          <w:sz w:val="24"/>
        </w:rPr>
        <w:t>a year-on-year increase of</w:t>
      </w:r>
      <w:r w:rsidRPr="00DB6CE8">
        <w:rPr>
          <w:sz w:val="24"/>
        </w:rPr>
        <w:t xml:space="preserve"> 24.10%, </w:t>
      </w:r>
      <w:r w:rsidR="00A63514">
        <w:rPr>
          <w:sz w:val="24"/>
        </w:rPr>
        <w:t>showing</w:t>
      </w:r>
      <w:r w:rsidRPr="00DB6CE8">
        <w:rPr>
          <w:sz w:val="24"/>
        </w:rPr>
        <w:t xml:space="preserve"> </w:t>
      </w:r>
      <w:r w:rsidR="001A4B10">
        <w:rPr>
          <w:sz w:val="24"/>
        </w:rPr>
        <w:t>sound</w:t>
      </w:r>
      <w:r w:rsidRPr="00DB6CE8">
        <w:rPr>
          <w:sz w:val="24"/>
        </w:rPr>
        <w:t xml:space="preserve"> profitability. As of the end of 2021, the Company's total assets amounted to RMB8</w:t>
      </w:r>
      <w:r w:rsidR="004F3320">
        <w:rPr>
          <w:sz w:val="24"/>
        </w:rPr>
        <w:t>.</w:t>
      </w:r>
      <w:r w:rsidRPr="00DB6CE8">
        <w:rPr>
          <w:sz w:val="24"/>
        </w:rPr>
        <w:t xml:space="preserve">601324 </w:t>
      </w:r>
      <w:r w:rsidR="004F3320">
        <w:rPr>
          <w:sz w:val="24"/>
        </w:rPr>
        <w:t>tr</w:t>
      </w:r>
      <w:r w:rsidRPr="00DB6CE8">
        <w:rPr>
          <w:sz w:val="24"/>
        </w:rPr>
        <w:t xml:space="preserve">illion, </w:t>
      </w:r>
      <w:r w:rsidR="00AB1FF0">
        <w:rPr>
          <w:sz w:val="24"/>
        </w:rPr>
        <w:t>up by</w:t>
      </w:r>
      <w:r w:rsidRPr="00DB6CE8">
        <w:rPr>
          <w:sz w:val="24"/>
        </w:rPr>
        <w:t xml:space="preserve"> 8.96% </w:t>
      </w:r>
      <w:r w:rsidR="00AB1FF0">
        <w:rPr>
          <w:sz w:val="24"/>
        </w:rPr>
        <w:t xml:space="preserve">compared with </w:t>
      </w:r>
      <w:r w:rsidRPr="00DB6CE8">
        <w:rPr>
          <w:sz w:val="24"/>
        </w:rPr>
        <w:t xml:space="preserve">the end of the previous year, of which the balance of loans in </w:t>
      </w:r>
      <w:r w:rsidR="00AB1FF0">
        <w:rPr>
          <w:sz w:val="24"/>
        </w:rPr>
        <w:t>local</w:t>
      </w:r>
      <w:r w:rsidRPr="00DB6CE8">
        <w:rPr>
          <w:sz w:val="24"/>
        </w:rPr>
        <w:t xml:space="preserve"> and foreign currencies </w:t>
      </w:r>
      <w:r w:rsidR="00AB1FF0">
        <w:rPr>
          <w:sz w:val="24"/>
        </w:rPr>
        <w:t>reached</w:t>
      </w:r>
      <w:r w:rsidRPr="00DB6CE8">
        <w:rPr>
          <w:sz w:val="24"/>
        </w:rPr>
        <w:t xml:space="preserve"> RMB4</w:t>
      </w:r>
      <w:r w:rsidR="0034169A">
        <w:rPr>
          <w:sz w:val="24"/>
        </w:rPr>
        <w:t>.</w:t>
      </w:r>
      <w:r w:rsidRPr="00DB6CE8">
        <w:rPr>
          <w:sz w:val="24"/>
        </w:rPr>
        <w:t xml:space="preserve">428183 </w:t>
      </w:r>
      <w:r w:rsidR="0034169A">
        <w:rPr>
          <w:sz w:val="24"/>
        </w:rPr>
        <w:t>tr</w:t>
      </w:r>
      <w:r w:rsidRPr="00DB6CE8">
        <w:rPr>
          <w:sz w:val="24"/>
        </w:rPr>
        <w:t xml:space="preserve">illion, an increase of 11.66% over the end of </w:t>
      </w:r>
      <w:r w:rsidR="00852818">
        <w:rPr>
          <w:sz w:val="24"/>
        </w:rPr>
        <w:t>2020. T</w:t>
      </w:r>
      <w:r w:rsidRPr="00DB6CE8">
        <w:rPr>
          <w:sz w:val="24"/>
        </w:rPr>
        <w:t xml:space="preserve">otal liabilities </w:t>
      </w:r>
      <w:r w:rsidR="00223166">
        <w:rPr>
          <w:sz w:val="24"/>
        </w:rPr>
        <w:t xml:space="preserve">increased by 8.77%, </w:t>
      </w:r>
      <w:r w:rsidRPr="00DB6CE8">
        <w:rPr>
          <w:sz w:val="24"/>
        </w:rPr>
        <w:t>amount</w:t>
      </w:r>
      <w:r w:rsidR="00223166">
        <w:rPr>
          <w:sz w:val="24"/>
        </w:rPr>
        <w:t>ing</w:t>
      </w:r>
      <w:r w:rsidRPr="00DB6CE8">
        <w:rPr>
          <w:sz w:val="24"/>
        </w:rPr>
        <w:t xml:space="preserve"> to RMB7</w:t>
      </w:r>
      <w:r w:rsidR="0034169A">
        <w:rPr>
          <w:sz w:val="24"/>
        </w:rPr>
        <w:t>.</w:t>
      </w:r>
      <w:r w:rsidRPr="00DB6CE8">
        <w:rPr>
          <w:sz w:val="24"/>
        </w:rPr>
        <w:t xml:space="preserve">907028 </w:t>
      </w:r>
      <w:r w:rsidR="0034169A">
        <w:rPr>
          <w:sz w:val="24"/>
        </w:rPr>
        <w:t>tr</w:t>
      </w:r>
      <w:r w:rsidRPr="00DB6CE8">
        <w:rPr>
          <w:sz w:val="24"/>
        </w:rPr>
        <w:t>illion</w:t>
      </w:r>
      <w:r w:rsidR="00223166">
        <w:rPr>
          <w:sz w:val="24"/>
        </w:rPr>
        <w:t>, with t</w:t>
      </w:r>
      <w:r w:rsidR="004B6228">
        <w:rPr>
          <w:sz w:val="24"/>
        </w:rPr>
        <w:t>he</w:t>
      </w:r>
      <w:r w:rsidRPr="00DB6CE8">
        <w:rPr>
          <w:sz w:val="24"/>
        </w:rPr>
        <w:t xml:space="preserve"> balance of deposits in </w:t>
      </w:r>
      <w:r w:rsidR="004B6228">
        <w:rPr>
          <w:sz w:val="24"/>
        </w:rPr>
        <w:t>local</w:t>
      </w:r>
      <w:r w:rsidRPr="00DB6CE8">
        <w:rPr>
          <w:sz w:val="24"/>
        </w:rPr>
        <w:t xml:space="preserve"> and foreign currencies </w:t>
      </w:r>
      <w:r w:rsidR="004B6228">
        <w:rPr>
          <w:sz w:val="24"/>
        </w:rPr>
        <w:t>reach</w:t>
      </w:r>
      <w:r w:rsidR="00223166">
        <w:rPr>
          <w:sz w:val="24"/>
        </w:rPr>
        <w:t>ing</w:t>
      </w:r>
      <w:r w:rsidRPr="00DB6CE8">
        <w:rPr>
          <w:sz w:val="24"/>
        </w:rPr>
        <w:t xml:space="preserve"> RMB</w:t>
      </w:r>
      <w:r w:rsidR="0034169A">
        <w:rPr>
          <w:sz w:val="24"/>
        </w:rPr>
        <w:t xml:space="preserve"> </w:t>
      </w:r>
      <w:r w:rsidRPr="00DB6CE8">
        <w:rPr>
          <w:sz w:val="24"/>
        </w:rPr>
        <w:t>4</w:t>
      </w:r>
      <w:r w:rsidR="0034169A">
        <w:rPr>
          <w:sz w:val="24"/>
        </w:rPr>
        <w:t>.</w:t>
      </w:r>
      <w:r w:rsidRPr="00DB6CE8">
        <w:rPr>
          <w:sz w:val="24"/>
        </w:rPr>
        <w:t>311</w:t>
      </w:r>
      <w:r w:rsidR="0034169A">
        <w:rPr>
          <w:sz w:val="24"/>
        </w:rPr>
        <w:t>0</w:t>
      </w:r>
      <w:r w:rsidRPr="00DB6CE8">
        <w:rPr>
          <w:sz w:val="24"/>
        </w:rPr>
        <w:t xml:space="preserve">41 </w:t>
      </w:r>
      <w:r w:rsidR="0034169A">
        <w:rPr>
          <w:sz w:val="24"/>
        </w:rPr>
        <w:t>tr</w:t>
      </w:r>
      <w:r w:rsidRPr="00DB6CE8">
        <w:rPr>
          <w:sz w:val="24"/>
        </w:rPr>
        <w:t>illio</w:t>
      </w:r>
      <w:r w:rsidR="007D67EE">
        <w:rPr>
          <w:sz w:val="24"/>
        </w:rPr>
        <w:t>n, up by</w:t>
      </w:r>
      <w:r w:rsidRPr="00DB6CE8">
        <w:rPr>
          <w:sz w:val="24"/>
        </w:rPr>
        <w:t xml:space="preserve"> 6.63% </w:t>
      </w:r>
      <w:r w:rsidR="00110703">
        <w:rPr>
          <w:sz w:val="24"/>
        </w:rPr>
        <w:t>compared with the</w:t>
      </w:r>
      <w:r w:rsidRPr="00DB6CE8">
        <w:rPr>
          <w:sz w:val="24"/>
        </w:rPr>
        <w:t xml:space="preserve"> end of </w:t>
      </w:r>
      <w:r w:rsidR="00223166">
        <w:rPr>
          <w:sz w:val="24"/>
        </w:rPr>
        <w:t>2020</w:t>
      </w:r>
      <w:r w:rsidRPr="00DB6CE8">
        <w:rPr>
          <w:sz w:val="24"/>
        </w:rPr>
        <w:t>. Asset quality continued to improve</w:t>
      </w:r>
      <w:r w:rsidR="00AC077C">
        <w:rPr>
          <w:sz w:val="24"/>
        </w:rPr>
        <w:t>.</w:t>
      </w:r>
      <w:r w:rsidRPr="00DB6CE8">
        <w:rPr>
          <w:sz w:val="24"/>
        </w:rPr>
        <w:t xml:space="preserve"> </w:t>
      </w:r>
      <w:r w:rsidR="00AC077C">
        <w:rPr>
          <w:sz w:val="24"/>
        </w:rPr>
        <w:t>T</w:t>
      </w:r>
      <w:r w:rsidRPr="00DB6CE8">
        <w:rPr>
          <w:sz w:val="24"/>
        </w:rPr>
        <w:t xml:space="preserve">he </w:t>
      </w:r>
      <w:r w:rsidR="00AC077C">
        <w:rPr>
          <w:sz w:val="24"/>
        </w:rPr>
        <w:t>C</w:t>
      </w:r>
      <w:r w:rsidRPr="00DB6CE8">
        <w:rPr>
          <w:sz w:val="24"/>
        </w:rPr>
        <w:t>ompany's non-performing loa</w:t>
      </w:r>
      <w:r w:rsidR="00AC077C">
        <w:rPr>
          <w:sz w:val="24"/>
        </w:rPr>
        <w:t>n balance</w:t>
      </w:r>
      <w:r w:rsidR="00822889">
        <w:rPr>
          <w:sz w:val="24"/>
        </w:rPr>
        <w:t xml:space="preserve"> decreased by RMB</w:t>
      </w:r>
      <w:r w:rsidRPr="00DB6CE8">
        <w:rPr>
          <w:sz w:val="24"/>
        </w:rPr>
        <w:t xml:space="preserve"> 942 </w:t>
      </w:r>
      <w:r w:rsidR="00822889">
        <w:rPr>
          <w:sz w:val="24"/>
        </w:rPr>
        <w:t>million</w:t>
      </w:r>
      <w:r w:rsidRPr="00DB6CE8">
        <w:rPr>
          <w:sz w:val="24"/>
        </w:rPr>
        <w:t xml:space="preserve"> from the end of the previous year</w:t>
      </w:r>
      <w:r w:rsidR="00822889">
        <w:rPr>
          <w:sz w:val="24"/>
        </w:rPr>
        <w:t xml:space="preserve">, reaching RMB </w:t>
      </w:r>
      <w:r w:rsidR="00822889" w:rsidRPr="00DB6CE8">
        <w:rPr>
          <w:sz w:val="24"/>
        </w:rPr>
        <w:t>48.714 billion</w:t>
      </w:r>
      <w:r w:rsidR="00822889">
        <w:rPr>
          <w:sz w:val="24"/>
        </w:rPr>
        <w:t>, with a 1.10%</w:t>
      </w:r>
      <w:r w:rsidRPr="00DB6CE8">
        <w:rPr>
          <w:sz w:val="24"/>
        </w:rPr>
        <w:t xml:space="preserve"> non-performing loan ratio, down</w:t>
      </w:r>
      <w:r w:rsidR="00465D40">
        <w:rPr>
          <w:sz w:val="24"/>
        </w:rPr>
        <w:t xml:space="preserve"> by</w:t>
      </w:r>
      <w:r w:rsidRPr="00DB6CE8">
        <w:rPr>
          <w:sz w:val="24"/>
        </w:rPr>
        <w:t xml:space="preserve"> 0.15 percentage points </w:t>
      </w:r>
      <w:r w:rsidR="00465D40">
        <w:rPr>
          <w:sz w:val="24"/>
        </w:rPr>
        <w:t xml:space="preserve">year-on-year. The </w:t>
      </w:r>
      <w:r w:rsidRPr="00DB6CE8">
        <w:rPr>
          <w:sz w:val="24"/>
        </w:rPr>
        <w:t xml:space="preserve">provision coverage ratio </w:t>
      </w:r>
      <w:r w:rsidR="00465D40">
        <w:rPr>
          <w:sz w:val="24"/>
        </w:rPr>
        <w:t>stood at</w:t>
      </w:r>
      <w:r w:rsidRPr="00DB6CE8">
        <w:rPr>
          <w:sz w:val="24"/>
        </w:rPr>
        <w:t xml:space="preserve"> 268.73%, an increase of 49.90 percentage points </w:t>
      </w:r>
      <w:r w:rsidR="00465D40">
        <w:rPr>
          <w:sz w:val="24"/>
        </w:rPr>
        <w:t>year-on-year</w:t>
      </w:r>
      <w:r w:rsidRPr="00DB6CE8">
        <w:rPr>
          <w:sz w:val="24"/>
        </w:rPr>
        <w:t>.</w:t>
      </w:r>
      <w:r w:rsidR="00DD3B65" w:rsidRPr="00196BEF">
        <w:rPr>
          <w:sz w:val="24"/>
        </w:rPr>
        <w:t> </w:t>
      </w:r>
    </w:p>
    <w:p w14:paraId="359EAAA7" w14:textId="38C0B11C" w:rsidR="009547A1" w:rsidRPr="00196BEF" w:rsidRDefault="009547A1">
      <w:pPr>
        <w:spacing w:line="360" w:lineRule="auto"/>
        <w:ind w:firstLineChars="200" w:firstLine="480"/>
      </w:pPr>
      <w:r w:rsidRPr="00196BEF">
        <w:rPr>
          <w:sz w:val="24"/>
        </w:rPr>
        <w:t xml:space="preserve">III. Risk Warning </w:t>
      </w:r>
    </w:p>
    <w:p w14:paraId="2C25F851" w14:textId="1B7365C0" w:rsidR="00465D40" w:rsidRPr="000E75B4" w:rsidRDefault="00465D40" w:rsidP="000E75B4">
      <w:pPr>
        <w:autoSpaceDE w:val="0"/>
        <w:autoSpaceDN w:val="0"/>
        <w:adjustRightInd w:val="0"/>
        <w:snapToGrid w:val="0"/>
        <w:spacing w:line="360" w:lineRule="auto"/>
        <w:ind w:firstLineChars="200" w:firstLine="480"/>
        <w:jc w:val="left"/>
        <w:rPr>
          <w:kern w:val="0"/>
          <w:sz w:val="24"/>
        </w:rPr>
      </w:pPr>
      <w:r>
        <w:rPr>
          <w:kern w:val="0"/>
          <w:sz w:val="24"/>
        </w:rPr>
        <w:t>The</w:t>
      </w:r>
      <w:r w:rsidRPr="0002354A">
        <w:rPr>
          <w:kern w:val="0"/>
          <w:sz w:val="24"/>
        </w:rPr>
        <w:t xml:space="preserve"> financial data for the year 2021 </w:t>
      </w:r>
      <w:r>
        <w:rPr>
          <w:kern w:val="0"/>
          <w:sz w:val="24"/>
        </w:rPr>
        <w:t>stat</w:t>
      </w:r>
      <w:r w:rsidRPr="0002354A">
        <w:rPr>
          <w:kern w:val="0"/>
          <w:sz w:val="24"/>
        </w:rPr>
        <w:t xml:space="preserve">ed in this announcement are preliminary </w:t>
      </w:r>
      <w:r>
        <w:rPr>
          <w:kern w:val="0"/>
          <w:sz w:val="24"/>
        </w:rPr>
        <w:t xml:space="preserve">consolidated results of the Company </w:t>
      </w:r>
      <w:r w:rsidR="00DB03D7">
        <w:rPr>
          <w:kern w:val="0"/>
          <w:sz w:val="24"/>
        </w:rPr>
        <w:t>and</w:t>
      </w:r>
      <w:r>
        <w:rPr>
          <w:kern w:val="0"/>
          <w:sz w:val="24"/>
        </w:rPr>
        <w:t xml:space="preserve"> are subject to possible deviation from the audited </w:t>
      </w:r>
      <w:r>
        <w:rPr>
          <w:kern w:val="0"/>
          <w:sz w:val="24"/>
        </w:rPr>
        <w:lastRenderedPageBreak/>
        <w:t xml:space="preserve">results which will be included in the Company’s </w:t>
      </w:r>
      <w:r w:rsidRPr="0002354A">
        <w:rPr>
          <w:kern w:val="0"/>
          <w:sz w:val="24"/>
        </w:rPr>
        <w:t>2021 annual report</w:t>
      </w:r>
      <w:r w:rsidR="00DB03D7">
        <w:rPr>
          <w:kern w:val="0"/>
          <w:sz w:val="24"/>
        </w:rPr>
        <w:t xml:space="preserve">, but the </w:t>
      </w:r>
      <w:r w:rsidR="00B15754">
        <w:rPr>
          <w:kern w:val="0"/>
          <w:sz w:val="24"/>
        </w:rPr>
        <w:t>deviation is expected to be 10% at most</w:t>
      </w:r>
      <w:r w:rsidRPr="0002354A">
        <w:rPr>
          <w:kern w:val="0"/>
          <w:sz w:val="24"/>
        </w:rPr>
        <w:t>.</w:t>
      </w:r>
      <w:r>
        <w:rPr>
          <w:kern w:val="0"/>
          <w:sz w:val="24"/>
        </w:rPr>
        <w:t xml:space="preserve"> Prospective investors should be aware of the potential risks in investment. </w:t>
      </w:r>
    </w:p>
    <w:p w14:paraId="5ACBE172" w14:textId="2BB1E006" w:rsidR="009547A1" w:rsidRPr="00196BEF" w:rsidRDefault="009547A1">
      <w:pPr>
        <w:spacing w:line="360" w:lineRule="auto"/>
        <w:ind w:firstLineChars="200" w:firstLine="480"/>
      </w:pPr>
      <w:r w:rsidRPr="00196BEF">
        <w:rPr>
          <w:sz w:val="24"/>
        </w:rPr>
        <w:t xml:space="preserve">IV. Documents for Reference </w:t>
      </w:r>
    </w:p>
    <w:p w14:paraId="69F7BF04" w14:textId="3EE7382A" w:rsidR="003931A0" w:rsidRDefault="003931A0" w:rsidP="00F639CF">
      <w:pPr>
        <w:spacing w:line="360" w:lineRule="auto"/>
        <w:ind w:firstLineChars="200" w:firstLine="480"/>
        <w:rPr>
          <w:sz w:val="24"/>
        </w:rPr>
      </w:pPr>
      <w:r w:rsidRPr="003931A0">
        <w:rPr>
          <w:sz w:val="24"/>
        </w:rPr>
        <w:t xml:space="preserve">Comparative balance sheet and income statement signed and sealed by Lu </w:t>
      </w:r>
      <w:proofErr w:type="spellStart"/>
      <w:r w:rsidRPr="003931A0">
        <w:rPr>
          <w:sz w:val="24"/>
        </w:rPr>
        <w:t>Jiajin</w:t>
      </w:r>
      <w:proofErr w:type="spellEnd"/>
      <w:r w:rsidRPr="003931A0">
        <w:rPr>
          <w:sz w:val="24"/>
        </w:rPr>
        <w:t xml:space="preserve">, Chairman of the Company, Tao Yiping, </w:t>
      </w:r>
      <w:r>
        <w:rPr>
          <w:sz w:val="24"/>
        </w:rPr>
        <w:t>Governor of the bank</w:t>
      </w:r>
      <w:r w:rsidRPr="003931A0">
        <w:rPr>
          <w:sz w:val="24"/>
        </w:rPr>
        <w:t xml:space="preserve">, and Lai </w:t>
      </w:r>
      <w:proofErr w:type="spellStart"/>
      <w:r w:rsidRPr="003931A0">
        <w:rPr>
          <w:sz w:val="24"/>
        </w:rPr>
        <w:t>Fulong</w:t>
      </w:r>
      <w:proofErr w:type="spellEnd"/>
      <w:r w:rsidRPr="003931A0">
        <w:rPr>
          <w:sz w:val="24"/>
        </w:rPr>
        <w:t>, Head of the Financial Institution.</w:t>
      </w:r>
    </w:p>
    <w:p w14:paraId="07BB53A1" w14:textId="4104A341" w:rsidR="002871BD" w:rsidRPr="00196BEF" w:rsidRDefault="002871BD">
      <w:pPr>
        <w:spacing w:line="360" w:lineRule="auto"/>
        <w:ind w:firstLineChars="200" w:firstLine="480"/>
      </w:pPr>
      <w:r>
        <w:rPr>
          <w:sz w:val="24"/>
        </w:rPr>
        <w:t xml:space="preserve">It is hereby announced. </w:t>
      </w:r>
    </w:p>
    <w:p w14:paraId="657B20CA" w14:textId="7912DF7E" w:rsidR="00854113" w:rsidRPr="00196BEF" w:rsidRDefault="00854113" w:rsidP="00854113">
      <w:pPr>
        <w:spacing w:line="360" w:lineRule="auto"/>
        <w:jc w:val="right"/>
      </w:pPr>
      <w:r w:rsidRPr="00854113">
        <w:t>Board of Directors of Industrial Bank Co., Ltd.</w:t>
      </w:r>
    </w:p>
    <w:p w14:paraId="6A3631F3" w14:textId="416DE942" w:rsidR="00B97BEA" w:rsidRPr="00196BEF" w:rsidRDefault="00854113" w:rsidP="00854113">
      <w:pPr>
        <w:spacing w:line="360" w:lineRule="auto"/>
        <w:ind w:firstLineChars="2600" w:firstLine="5460"/>
        <w:jc w:val="right"/>
      </w:pPr>
      <w:r>
        <w:t>January 10, 2022</w:t>
      </w:r>
      <w:r w:rsidR="00DD3B65" w:rsidRPr="00196BEF">
        <w:t xml:space="preserve">   </w:t>
      </w:r>
    </w:p>
    <w:sectPr w:rsidR="00B97BEA" w:rsidRPr="00196BEF">
      <w:headerReference w:type="even" r:id="rId9"/>
      <w:headerReference w:type="default" r:id="rId10"/>
      <w:footerReference w:type="even" r:id="rId11"/>
      <w:footerReference w:type="default" r:id="rId12"/>
      <w:headerReference w:type="first" r:id="rId13"/>
      <w:footerReference w:type="first" r:id="rId14"/>
      <w:pgSz w:w="11906" w:h="16838"/>
      <w:pgMar w:top="1134" w:right="1531" w:bottom="737"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44E8" w14:textId="77777777" w:rsidR="0073122B" w:rsidRDefault="0073122B">
      <w:pPr>
        <w:spacing w:after="0" w:line="240" w:lineRule="auto"/>
      </w:pPr>
      <w:r>
        <w:separator/>
      </w:r>
    </w:p>
  </w:endnote>
  <w:endnote w:type="continuationSeparator" w:id="0">
    <w:p w14:paraId="21B9CBBE" w14:textId="77777777" w:rsidR="0073122B" w:rsidRDefault="00731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8206" w14:textId="77777777" w:rsidR="00B97BEA" w:rsidRDefault="00DD3B65">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196EC59" w14:textId="77777777" w:rsidR="00B97BEA" w:rsidRDefault="00B97B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0EC1" w14:textId="77777777" w:rsidR="00B97BEA" w:rsidRDefault="00DD3B65">
    <w:pPr>
      <w:pStyle w:val="a7"/>
      <w:jc w:val="center"/>
    </w:pPr>
    <w:r>
      <w:fldChar w:fldCharType="begin"/>
    </w:r>
    <w:r>
      <w:instrText xml:space="preserve"> PAGE   \* MERGEFORMAT </w:instrText>
    </w:r>
    <w:r>
      <w:fldChar w:fldCharType="separate"/>
    </w:r>
    <w:r>
      <w:rPr>
        <w:lang w:val="zh-CN"/>
      </w:rPr>
      <w:t>2</w:t>
    </w:r>
    <w:r>
      <w:fldChar w:fldCharType="end"/>
    </w:r>
  </w:p>
  <w:p w14:paraId="25ABD8BB" w14:textId="77777777" w:rsidR="00B97BEA" w:rsidRDefault="00B97B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5745" w14:textId="77777777" w:rsidR="00A25EC2" w:rsidRDefault="00A25E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F2FE" w14:textId="77777777" w:rsidR="0073122B" w:rsidRDefault="0073122B">
      <w:pPr>
        <w:spacing w:after="0" w:line="240" w:lineRule="auto"/>
      </w:pPr>
      <w:r>
        <w:separator/>
      </w:r>
    </w:p>
  </w:footnote>
  <w:footnote w:type="continuationSeparator" w:id="0">
    <w:p w14:paraId="0B061A7F" w14:textId="77777777" w:rsidR="0073122B" w:rsidRDefault="00731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6428" w14:textId="77777777" w:rsidR="00A25EC2" w:rsidRDefault="00A25E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4420" w14:textId="77777777" w:rsidR="00A25EC2" w:rsidRDefault="00A25EC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65B" w14:textId="77777777" w:rsidR="00A25EC2" w:rsidRDefault="00A25E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4152"/>
    <w:multiLevelType w:val="hybridMultilevel"/>
    <w:tmpl w:val="0B144B18"/>
    <w:lvl w:ilvl="0" w:tplc="CED2CD4A">
      <w:start w:val="1"/>
      <w:numFmt w:val="japaneseCounting"/>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6FF714E7"/>
    <w:multiLevelType w:val="hybridMultilevel"/>
    <w:tmpl w:val="A79EFC58"/>
    <w:lvl w:ilvl="0" w:tplc="C4081BD2">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696495296">
    <w:abstractNumId w:val="0"/>
  </w:num>
  <w:num w:numId="2" w16cid:durableId="402726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1593"/>
    <w:rsid w:val="00020EFA"/>
    <w:rsid w:val="00021802"/>
    <w:rsid w:val="0002354A"/>
    <w:rsid w:val="00027D98"/>
    <w:rsid w:val="000328CB"/>
    <w:rsid w:val="00040ACD"/>
    <w:rsid w:val="00046680"/>
    <w:rsid w:val="0005248C"/>
    <w:rsid w:val="00060F3F"/>
    <w:rsid w:val="00067D10"/>
    <w:rsid w:val="00077DE1"/>
    <w:rsid w:val="000A0ED6"/>
    <w:rsid w:val="000A2A24"/>
    <w:rsid w:val="000A2B10"/>
    <w:rsid w:val="000A3856"/>
    <w:rsid w:val="000A487B"/>
    <w:rsid w:val="000A4DE1"/>
    <w:rsid w:val="000C53AD"/>
    <w:rsid w:val="000E75B4"/>
    <w:rsid w:val="000F4A02"/>
    <w:rsid w:val="000F4E9D"/>
    <w:rsid w:val="00102483"/>
    <w:rsid w:val="00110703"/>
    <w:rsid w:val="001125DD"/>
    <w:rsid w:val="001136CA"/>
    <w:rsid w:val="00114180"/>
    <w:rsid w:val="00114C2D"/>
    <w:rsid w:val="001205CF"/>
    <w:rsid w:val="00120D2D"/>
    <w:rsid w:val="00121CBA"/>
    <w:rsid w:val="001259A5"/>
    <w:rsid w:val="0012643E"/>
    <w:rsid w:val="001354AE"/>
    <w:rsid w:val="00135615"/>
    <w:rsid w:val="00136645"/>
    <w:rsid w:val="00140981"/>
    <w:rsid w:val="001463C5"/>
    <w:rsid w:val="00154AD8"/>
    <w:rsid w:val="00172A27"/>
    <w:rsid w:val="00173A63"/>
    <w:rsid w:val="00176EDA"/>
    <w:rsid w:val="00181E13"/>
    <w:rsid w:val="00183A85"/>
    <w:rsid w:val="00183ED4"/>
    <w:rsid w:val="00194F42"/>
    <w:rsid w:val="00196BEF"/>
    <w:rsid w:val="001A2259"/>
    <w:rsid w:val="001A2E26"/>
    <w:rsid w:val="001A4B10"/>
    <w:rsid w:val="001B3188"/>
    <w:rsid w:val="001B345F"/>
    <w:rsid w:val="001C143E"/>
    <w:rsid w:val="001F0767"/>
    <w:rsid w:val="001F1D0F"/>
    <w:rsid w:val="001F368E"/>
    <w:rsid w:val="001F50D2"/>
    <w:rsid w:val="001F5BEF"/>
    <w:rsid w:val="001F62DE"/>
    <w:rsid w:val="001F70AB"/>
    <w:rsid w:val="00202E54"/>
    <w:rsid w:val="00203E87"/>
    <w:rsid w:val="00204744"/>
    <w:rsid w:val="00210510"/>
    <w:rsid w:val="00217A95"/>
    <w:rsid w:val="00223166"/>
    <w:rsid w:val="00224351"/>
    <w:rsid w:val="002329B3"/>
    <w:rsid w:val="002332FA"/>
    <w:rsid w:val="002350DA"/>
    <w:rsid w:val="002437EE"/>
    <w:rsid w:val="0024383E"/>
    <w:rsid w:val="00250A8B"/>
    <w:rsid w:val="00253ADC"/>
    <w:rsid w:val="00263A29"/>
    <w:rsid w:val="00274D49"/>
    <w:rsid w:val="002871BD"/>
    <w:rsid w:val="00290BA3"/>
    <w:rsid w:val="002B1340"/>
    <w:rsid w:val="002B17C5"/>
    <w:rsid w:val="002B236D"/>
    <w:rsid w:val="002B3022"/>
    <w:rsid w:val="002B55D6"/>
    <w:rsid w:val="002B610C"/>
    <w:rsid w:val="002B7A7A"/>
    <w:rsid w:val="002D2573"/>
    <w:rsid w:val="002D4397"/>
    <w:rsid w:val="002E5A88"/>
    <w:rsid w:val="00301296"/>
    <w:rsid w:val="003051EF"/>
    <w:rsid w:val="003151F4"/>
    <w:rsid w:val="00316903"/>
    <w:rsid w:val="0032278A"/>
    <w:rsid w:val="00335B10"/>
    <w:rsid w:val="00335EC8"/>
    <w:rsid w:val="003375BA"/>
    <w:rsid w:val="0034169A"/>
    <w:rsid w:val="003463F3"/>
    <w:rsid w:val="00346CF1"/>
    <w:rsid w:val="00354BFB"/>
    <w:rsid w:val="00360D2A"/>
    <w:rsid w:val="003747B5"/>
    <w:rsid w:val="003765FB"/>
    <w:rsid w:val="00381B14"/>
    <w:rsid w:val="003868A5"/>
    <w:rsid w:val="003931A0"/>
    <w:rsid w:val="00393560"/>
    <w:rsid w:val="003B3A8C"/>
    <w:rsid w:val="003B4249"/>
    <w:rsid w:val="003C5BC9"/>
    <w:rsid w:val="003D4574"/>
    <w:rsid w:val="003E369F"/>
    <w:rsid w:val="003F2BC2"/>
    <w:rsid w:val="003F381F"/>
    <w:rsid w:val="003F62DC"/>
    <w:rsid w:val="0040607C"/>
    <w:rsid w:val="00423AB1"/>
    <w:rsid w:val="00435601"/>
    <w:rsid w:val="004441C7"/>
    <w:rsid w:val="0045324D"/>
    <w:rsid w:val="00453C67"/>
    <w:rsid w:val="0046049C"/>
    <w:rsid w:val="004645CA"/>
    <w:rsid w:val="0046590A"/>
    <w:rsid w:val="00465D40"/>
    <w:rsid w:val="00472E63"/>
    <w:rsid w:val="0047324B"/>
    <w:rsid w:val="004734BA"/>
    <w:rsid w:val="004747CB"/>
    <w:rsid w:val="004754DD"/>
    <w:rsid w:val="004761AA"/>
    <w:rsid w:val="0048325F"/>
    <w:rsid w:val="00485CF1"/>
    <w:rsid w:val="00487B2F"/>
    <w:rsid w:val="00497C9C"/>
    <w:rsid w:val="004B5763"/>
    <w:rsid w:val="004B6228"/>
    <w:rsid w:val="004B6745"/>
    <w:rsid w:val="004B7EC1"/>
    <w:rsid w:val="004D52AA"/>
    <w:rsid w:val="004D77BC"/>
    <w:rsid w:val="004E032F"/>
    <w:rsid w:val="004E100D"/>
    <w:rsid w:val="004E37C0"/>
    <w:rsid w:val="004E5192"/>
    <w:rsid w:val="004E52F9"/>
    <w:rsid w:val="004E5780"/>
    <w:rsid w:val="004F3320"/>
    <w:rsid w:val="005160BC"/>
    <w:rsid w:val="0052091C"/>
    <w:rsid w:val="00520E50"/>
    <w:rsid w:val="005256F1"/>
    <w:rsid w:val="005276EC"/>
    <w:rsid w:val="00541123"/>
    <w:rsid w:val="00541B82"/>
    <w:rsid w:val="0055192C"/>
    <w:rsid w:val="005523FF"/>
    <w:rsid w:val="005573E1"/>
    <w:rsid w:val="00562D64"/>
    <w:rsid w:val="00564EF5"/>
    <w:rsid w:val="0057043B"/>
    <w:rsid w:val="0057584C"/>
    <w:rsid w:val="00584F62"/>
    <w:rsid w:val="00590DFB"/>
    <w:rsid w:val="005A05ED"/>
    <w:rsid w:val="005A76FC"/>
    <w:rsid w:val="005B00EA"/>
    <w:rsid w:val="005B267F"/>
    <w:rsid w:val="005D79D8"/>
    <w:rsid w:val="005F5E78"/>
    <w:rsid w:val="0060426D"/>
    <w:rsid w:val="0060568B"/>
    <w:rsid w:val="00615F18"/>
    <w:rsid w:val="0062077E"/>
    <w:rsid w:val="006416E1"/>
    <w:rsid w:val="0065601B"/>
    <w:rsid w:val="00661BA9"/>
    <w:rsid w:val="00666416"/>
    <w:rsid w:val="006679F7"/>
    <w:rsid w:val="0068555A"/>
    <w:rsid w:val="00686072"/>
    <w:rsid w:val="00690B30"/>
    <w:rsid w:val="006A6734"/>
    <w:rsid w:val="006A777A"/>
    <w:rsid w:val="006B049E"/>
    <w:rsid w:val="006B4E3D"/>
    <w:rsid w:val="006C4536"/>
    <w:rsid w:val="006C4D21"/>
    <w:rsid w:val="006C586D"/>
    <w:rsid w:val="006C7F35"/>
    <w:rsid w:val="006E0FB5"/>
    <w:rsid w:val="006E2D08"/>
    <w:rsid w:val="006E6C88"/>
    <w:rsid w:val="006F22DD"/>
    <w:rsid w:val="00702A72"/>
    <w:rsid w:val="00703C6A"/>
    <w:rsid w:val="00703DF3"/>
    <w:rsid w:val="00706C74"/>
    <w:rsid w:val="00706D6F"/>
    <w:rsid w:val="007100FD"/>
    <w:rsid w:val="00721966"/>
    <w:rsid w:val="0073122B"/>
    <w:rsid w:val="00733BF2"/>
    <w:rsid w:val="00736987"/>
    <w:rsid w:val="00741E99"/>
    <w:rsid w:val="007513CD"/>
    <w:rsid w:val="00754E7D"/>
    <w:rsid w:val="007727CA"/>
    <w:rsid w:val="0078313E"/>
    <w:rsid w:val="00796FE0"/>
    <w:rsid w:val="007A1061"/>
    <w:rsid w:val="007A3784"/>
    <w:rsid w:val="007B1BD4"/>
    <w:rsid w:val="007D003C"/>
    <w:rsid w:val="007D316A"/>
    <w:rsid w:val="007D4704"/>
    <w:rsid w:val="007D67EE"/>
    <w:rsid w:val="007E1FF2"/>
    <w:rsid w:val="007F29C5"/>
    <w:rsid w:val="008009E9"/>
    <w:rsid w:val="008017B6"/>
    <w:rsid w:val="00803209"/>
    <w:rsid w:val="00806178"/>
    <w:rsid w:val="008065AF"/>
    <w:rsid w:val="00806E66"/>
    <w:rsid w:val="00807829"/>
    <w:rsid w:val="008115B8"/>
    <w:rsid w:val="00820732"/>
    <w:rsid w:val="00822889"/>
    <w:rsid w:val="00830233"/>
    <w:rsid w:val="00836C74"/>
    <w:rsid w:val="008454D3"/>
    <w:rsid w:val="00846617"/>
    <w:rsid w:val="008515C7"/>
    <w:rsid w:val="00852818"/>
    <w:rsid w:val="00854113"/>
    <w:rsid w:val="00861F75"/>
    <w:rsid w:val="00866C4C"/>
    <w:rsid w:val="00867AD1"/>
    <w:rsid w:val="008949B0"/>
    <w:rsid w:val="008A2902"/>
    <w:rsid w:val="008B4BA3"/>
    <w:rsid w:val="008C215C"/>
    <w:rsid w:val="008D2815"/>
    <w:rsid w:val="008D5F7A"/>
    <w:rsid w:val="008D710A"/>
    <w:rsid w:val="008E41F7"/>
    <w:rsid w:val="008F367D"/>
    <w:rsid w:val="008F52CB"/>
    <w:rsid w:val="00913A61"/>
    <w:rsid w:val="00913E6C"/>
    <w:rsid w:val="009152EA"/>
    <w:rsid w:val="00916AE4"/>
    <w:rsid w:val="00923826"/>
    <w:rsid w:val="00924788"/>
    <w:rsid w:val="0092530F"/>
    <w:rsid w:val="00933139"/>
    <w:rsid w:val="0094116C"/>
    <w:rsid w:val="009547A1"/>
    <w:rsid w:val="009561F1"/>
    <w:rsid w:val="0096083F"/>
    <w:rsid w:val="00965F45"/>
    <w:rsid w:val="00973288"/>
    <w:rsid w:val="0097545F"/>
    <w:rsid w:val="00981259"/>
    <w:rsid w:val="009948F3"/>
    <w:rsid w:val="00995389"/>
    <w:rsid w:val="009A4AD0"/>
    <w:rsid w:val="009B36E0"/>
    <w:rsid w:val="009B488C"/>
    <w:rsid w:val="009C327E"/>
    <w:rsid w:val="009E0B16"/>
    <w:rsid w:val="009E4C59"/>
    <w:rsid w:val="009E5000"/>
    <w:rsid w:val="009F4D31"/>
    <w:rsid w:val="009F5A34"/>
    <w:rsid w:val="00A0710D"/>
    <w:rsid w:val="00A10518"/>
    <w:rsid w:val="00A10DCD"/>
    <w:rsid w:val="00A14E39"/>
    <w:rsid w:val="00A16F91"/>
    <w:rsid w:val="00A25EC2"/>
    <w:rsid w:val="00A334E2"/>
    <w:rsid w:val="00A52DD6"/>
    <w:rsid w:val="00A573DE"/>
    <w:rsid w:val="00A61519"/>
    <w:rsid w:val="00A63514"/>
    <w:rsid w:val="00A64FE5"/>
    <w:rsid w:val="00A66CE5"/>
    <w:rsid w:val="00A67F85"/>
    <w:rsid w:val="00A9489B"/>
    <w:rsid w:val="00A958B5"/>
    <w:rsid w:val="00A97BF0"/>
    <w:rsid w:val="00AA23D3"/>
    <w:rsid w:val="00AA7971"/>
    <w:rsid w:val="00AB1FF0"/>
    <w:rsid w:val="00AB7248"/>
    <w:rsid w:val="00AC077C"/>
    <w:rsid w:val="00AC27FF"/>
    <w:rsid w:val="00AD56E3"/>
    <w:rsid w:val="00AF0EB7"/>
    <w:rsid w:val="00B018C4"/>
    <w:rsid w:val="00B02D18"/>
    <w:rsid w:val="00B129F8"/>
    <w:rsid w:val="00B15754"/>
    <w:rsid w:val="00B272F6"/>
    <w:rsid w:val="00B3088F"/>
    <w:rsid w:val="00B33EF6"/>
    <w:rsid w:val="00B3558C"/>
    <w:rsid w:val="00B413A7"/>
    <w:rsid w:val="00B45E4A"/>
    <w:rsid w:val="00B46105"/>
    <w:rsid w:val="00B71BB4"/>
    <w:rsid w:val="00B80ABB"/>
    <w:rsid w:val="00B85025"/>
    <w:rsid w:val="00B86AF3"/>
    <w:rsid w:val="00B8779F"/>
    <w:rsid w:val="00B91A28"/>
    <w:rsid w:val="00B9444A"/>
    <w:rsid w:val="00B97BEA"/>
    <w:rsid w:val="00BC1799"/>
    <w:rsid w:val="00BC71A3"/>
    <w:rsid w:val="00BD6646"/>
    <w:rsid w:val="00BD6E0C"/>
    <w:rsid w:val="00BD7DBB"/>
    <w:rsid w:val="00BE774E"/>
    <w:rsid w:val="00BF1209"/>
    <w:rsid w:val="00BF73B9"/>
    <w:rsid w:val="00C00BA4"/>
    <w:rsid w:val="00C04941"/>
    <w:rsid w:val="00C064FB"/>
    <w:rsid w:val="00C17144"/>
    <w:rsid w:val="00C30C0C"/>
    <w:rsid w:val="00C314B1"/>
    <w:rsid w:val="00C34B5C"/>
    <w:rsid w:val="00C35EDD"/>
    <w:rsid w:val="00C36BE0"/>
    <w:rsid w:val="00C36C5D"/>
    <w:rsid w:val="00C40081"/>
    <w:rsid w:val="00C620CC"/>
    <w:rsid w:val="00C64E3B"/>
    <w:rsid w:val="00C8169E"/>
    <w:rsid w:val="00C8663A"/>
    <w:rsid w:val="00C95934"/>
    <w:rsid w:val="00CA5155"/>
    <w:rsid w:val="00CA7197"/>
    <w:rsid w:val="00CC3C14"/>
    <w:rsid w:val="00CE014B"/>
    <w:rsid w:val="00CE2A4F"/>
    <w:rsid w:val="00CE6115"/>
    <w:rsid w:val="00D1258D"/>
    <w:rsid w:val="00D16308"/>
    <w:rsid w:val="00D270E8"/>
    <w:rsid w:val="00D3096A"/>
    <w:rsid w:val="00D31B33"/>
    <w:rsid w:val="00D33BA0"/>
    <w:rsid w:val="00D454B8"/>
    <w:rsid w:val="00D60E89"/>
    <w:rsid w:val="00D66498"/>
    <w:rsid w:val="00D66979"/>
    <w:rsid w:val="00D66D7A"/>
    <w:rsid w:val="00D74B89"/>
    <w:rsid w:val="00D8240F"/>
    <w:rsid w:val="00D9414A"/>
    <w:rsid w:val="00DA3184"/>
    <w:rsid w:val="00DB03D7"/>
    <w:rsid w:val="00DB6CE8"/>
    <w:rsid w:val="00DC3D0F"/>
    <w:rsid w:val="00DC49D2"/>
    <w:rsid w:val="00DC568F"/>
    <w:rsid w:val="00DD3B65"/>
    <w:rsid w:val="00DD4BBA"/>
    <w:rsid w:val="00DE599F"/>
    <w:rsid w:val="00DE6B63"/>
    <w:rsid w:val="00E011E3"/>
    <w:rsid w:val="00E02111"/>
    <w:rsid w:val="00E024D6"/>
    <w:rsid w:val="00E03614"/>
    <w:rsid w:val="00E036FE"/>
    <w:rsid w:val="00E05EE3"/>
    <w:rsid w:val="00E07916"/>
    <w:rsid w:val="00E13345"/>
    <w:rsid w:val="00E179CC"/>
    <w:rsid w:val="00E2368E"/>
    <w:rsid w:val="00E2394B"/>
    <w:rsid w:val="00E45567"/>
    <w:rsid w:val="00E45661"/>
    <w:rsid w:val="00E51631"/>
    <w:rsid w:val="00E52B3A"/>
    <w:rsid w:val="00E5582A"/>
    <w:rsid w:val="00E61907"/>
    <w:rsid w:val="00E67506"/>
    <w:rsid w:val="00E70B75"/>
    <w:rsid w:val="00E779B8"/>
    <w:rsid w:val="00E80DE0"/>
    <w:rsid w:val="00E93C87"/>
    <w:rsid w:val="00E97C90"/>
    <w:rsid w:val="00EA1D3D"/>
    <w:rsid w:val="00EB65FB"/>
    <w:rsid w:val="00EC627B"/>
    <w:rsid w:val="00ED6837"/>
    <w:rsid w:val="00EF23D8"/>
    <w:rsid w:val="00F07107"/>
    <w:rsid w:val="00F109E0"/>
    <w:rsid w:val="00F234CD"/>
    <w:rsid w:val="00F3053A"/>
    <w:rsid w:val="00F316DC"/>
    <w:rsid w:val="00F356BA"/>
    <w:rsid w:val="00F35BDA"/>
    <w:rsid w:val="00F422B8"/>
    <w:rsid w:val="00F472CE"/>
    <w:rsid w:val="00F476C1"/>
    <w:rsid w:val="00F52781"/>
    <w:rsid w:val="00F56989"/>
    <w:rsid w:val="00F60922"/>
    <w:rsid w:val="00F61FBA"/>
    <w:rsid w:val="00F639CF"/>
    <w:rsid w:val="00F71A89"/>
    <w:rsid w:val="00F735CF"/>
    <w:rsid w:val="00F80281"/>
    <w:rsid w:val="00F816FE"/>
    <w:rsid w:val="00F938BA"/>
    <w:rsid w:val="00F96446"/>
    <w:rsid w:val="00F96725"/>
    <w:rsid w:val="00FB39BD"/>
    <w:rsid w:val="00FB4A4B"/>
    <w:rsid w:val="00FB6B98"/>
    <w:rsid w:val="00FC7B50"/>
    <w:rsid w:val="00FD20D5"/>
    <w:rsid w:val="00FE052E"/>
    <w:rsid w:val="00FF2723"/>
    <w:rsid w:val="00FF5928"/>
    <w:rsid w:val="00FF69A0"/>
    <w:rsid w:val="4F0A4CD3"/>
    <w:rsid w:val="5A8818A3"/>
    <w:rsid w:val="606631BD"/>
    <w:rsid w:val="71B62C48"/>
    <w:rsid w:val="742A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DE009"/>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D40"/>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ac"/>
    <w:rPr>
      <w:b/>
      <w:bCs/>
    </w:rPr>
  </w:style>
  <w:style w:type="character" w:styleId="ad">
    <w:name w:val="page number"/>
    <w:basedOn w:val="a0"/>
    <w:qFormat/>
  </w:style>
  <w:style w:type="character" w:styleId="ae">
    <w:name w:val="annotation reference"/>
    <w:rPr>
      <w:sz w:val="16"/>
      <w:szCs w:val="16"/>
    </w:rPr>
  </w:style>
  <w:style w:type="character" w:customStyle="1" w:styleId="a8">
    <w:name w:val="页脚 字符"/>
    <w:link w:val="a7"/>
    <w:uiPriority w:val="99"/>
    <w:rPr>
      <w:kern w:val="2"/>
      <w:sz w:val="18"/>
    </w:rPr>
  </w:style>
  <w:style w:type="character" w:customStyle="1" w:styleId="10">
    <w:name w:val="标题 1 字符"/>
    <w:link w:val="1"/>
    <w:qFormat/>
    <w:rPr>
      <w:rFonts w:eastAsia="宋体"/>
      <w:b/>
      <w:bCs/>
      <w:kern w:val="44"/>
      <w:sz w:val="44"/>
      <w:szCs w:val="44"/>
      <w:lang w:val="en-US" w:eastAsia="zh-CN" w:bidi="ar-SA"/>
    </w:rPr>
  </w:style>
  <w:style w:type="character" w:customStyle="1" w:styleId="a6">
    <w:name w:val="批注框文本 字符"/>
    <w:link w:val="a5"/>
    <w:rPr>
      <w:kern w:val="2"/>
      <w:sz w:val="18"/>
      <w:szCs w:val="18"/>
    </w:rPr>
  </w:style>
  <w:style w:type="character" w:customStyle="1" w:styleId="30">
    <w:name w:val="标题 3 字符"/>
    <w:link w:val="3"/>
    <w:rPr>
      <w:b/>
      <w:bCs/>
      <w:kern w:val="2"/>
      <w:sz w:val="32"/>
      <w:szCs w:val="32"/>
    </w:rPr>
  </w:style>
  <w:style w:type="character" w:customStyle="1" w:styleId="a4">
    <w:name w:val="批注文字 字符"/>
    <w:link w:val="a3"/>
    <w:qFormat/>
    <w:rPr>
      <w:kern w:val="2"/>
    </w:rPr>
  </w:style>
  <w:style w:type="character" w:customStyle="1" w:styleId="ac">
    <w:name w:val="批注主题 字符"/>
    <w:link w:val="ab"/>
    <w:rPr>
      <w:b/>
      <w:bCs/>
      <w:kern w:val="2"/>
    </w:rPr>
  </w:style>
  <w:style w:type="character" w:styleId="af">
    <w:name w:val="Hyperlink"/>
    <w:basedOn w:val="a0"/>
    <w:unhideWhenUsed/>
    <w:rsid w:val="009B488C"/>
    <w:rPr>
      <w:color w:val="0000FF" w:themeColor="hyperlink"/>
      <w:u w:val="single"/>
    </w:rPr>
  </w:style>
  <w:style w:type="character" w:styleId="af0">
    <w:name w:val="Unresolved Mention"/>
    <w:basedOn w:val="a0"/>
    <w:uiPriority w:val="99"/>
    <w:semiHidden/>
    <w:unhideWhenUsed/>
    <w:rsid w:val="009B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BE885-828B-4E5B-AECD-4530C6F0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756</Words>
  <Characters>4311</Characters>
  <Application>Microsoft Office Word</Application>
  <DocSecurity>0</DocSecurity>
  <Lines>35</Lines>
  <Paragraphs>10</Paragraphs>
  <ScaleCrop>false</ScaleCrop>
  <Company>sse</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Luo Cindy</cp:lastModifiedBy>
  <cp:revision>15</cp:revision>
  <cp:lastPrinted>2022-01-10T07:03:00Z</cp:lastPrinted>
  <dcterms:created xsi:type="dcterms:W3CDTF">2022-01-10T00:21:00Z</dcterms:created>
  <dcterms:modified xsi:type="dcterms:W3CDTF">2022-05-04T05:50:00Z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