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1E98" w14:textId="7ED88161" w:rsidR="006806A7" w:rsidRPr="00F167D8" w:rsidRDefault="006806A7" w:rsidP="006806A7">
      <w:pPr>
        <w:spacing w:line="400" w:lineRule="exact"/>
        <w:rPr>
          <w:rFonts w:ascii="Times New Roman" w:hAnsi="Times New Roman"/>
          <w:b/>
          <w:color w:val="000000"/>
          <w:kern w:val="0"/>
          <w:szCs w:val="21"/>
        </w:rPr>
      </w:pPr>
      <w:r w:rsidRPr="00F167D8">
        <w:rPr>
          <w:rFonts w:ascii="Times New Roman" w:hAnsi="Times New Roman"/>
          <w:b/>
          <w:color w:val="000000"/>
          <w:kern w:val="0"/>
          <w:szCs w:val="21"/>
        </w:rPr>
        <w:t>Announcement Code: TEMP 2022-049</w:t>
      </w:r>
    </w:p>
    <w:p w14:paraId="0AC9742E" w14:textId="77777777" w:rsidR="006806A7" w:rsidRPr="00F167D8" w:rsidRDefault="006806A7" w:rsidP="006806A7">
      <w:pPr>
        <w:spacing w:line="400" w:lineRule="exact"/>
        <w:rPr>
          <w:rFonts w:ascii="Times New Roman" w:hAnsi="Times New Roman"/>
          <w:b/>
          <w:color w:val="000000"/>
          <w:kern w:val="0"/>
          <w:szCs w:val="21"/>
        </w:rPr>
      </w:pPr>
      <w:r w:rsidRPr="00F167D8">
        <w:rPr>
          <w:rFonts w:ascii="Times New Roman" w:hAnsi="Times New Roman"/>
          <w:b/>
          <w:color w:val="000000"/>
          <w:kern w:val="0"/>
          <w:szCs w:val="21"/>
        </w:rPr>
        <w:t>Code of A Share: 601166            Abbreviation of A Share: Industrial Bank</w:t>
      </w:r>
    </w:p>
    <w:p w14:paraId="6D7ABCB5" w14:textId="77777777" w:rsidR="006806A7" w:rsidRPr="00F167D8" w:rsidRDefault="006806A7" w:rsidP="006806A7">
      <w:pPr>
        <w:spacing w:line="400" w:lineRule="exact"/>
        <w:rPr>
          <w:rFonts w:ascii="Times New Roman" w:hAnsi="Times New Roman"/>
          <w:b/>
          <w:color w:val="000000"/>
          <w:kern w:val="0"/>
          <w:szCs w:val="21"/>
        </w:rPr>
      </w:pPr>
      <w:r w:rsidRPr="00F167D8">
        <w:rPr>
          <w:rFonts w:ascii="Times New Roman" w:hAnsi="Times New Roman"/>
          <w:b/>
          <w:color w:val="000000"/>
          <w:kern w:val="0"/>
          <w:szCs w:val="21"/>
        </w:rPr>
        <w:t>Code of Preferred Stock: 360005, 360012, 360032     Abbreviation of Preferred Stock: Industrial Preferred 1, Industrial Preferred 2, Industrial Preferred 3</w:t>
      </w:r>
    </w:p>
    <w:p w14:paraId="71A3E347" w14:textId="18A66E35" w:rsidR="006806A7" w:rsidRPr="00F167D8" w:rsidRDefault="006806A7" w:rsidP="006806A7">
      <w:pPr>
        <w:spacing w:line="460" w:lineRule="exact"/>
        <w:jc w:val="left"/>
        <w:rPr>
          <w:rFonts w:ascii="Times New Roman" w:hAnsi="Times New Roman"/>
          <w:b/>
          <w:szCs w:val="21"/>
        </w:rPr>
      </w:pPr>
      <w:r w:rsidRPr="00F167D8">
        <w:rPr>
          <w:rFonts w:ascii="Times New Roman" w:hAnsi="Times New Roman"/>
          <w:b/>
          <w:color w:val="000000"/>
          <w:kern w:val="0"/>
          <w:szCs w:val="21"/>
        </w:rPr>
        <w:t>Code of Convertible Bonds:</w:t>
      </w:r>
      <w:proofErr w:type="gramStart"/>
      <w:r w:rsidRPr="00F167D8">
        <w:rPr>
          <w:rFonts w:ascii="Times New Roman" w:hAnsi="Times New Roman"/>
          <w:b/>
          <w:color w:val="000000"/>
          <w:kern w:val="0"/>
          <w:szCs w:val="21"/>
        </w:rPr>
        <w:t>113052  Abbreviation</w:t>
      </w:r>
      <w:proofErr w:type="gramEnd"/>
      <w:r w:rsidRPr="00F167D8">
        <w:rPr>
          <w:rFonts w:ascii="Times New Roman" w:hAnsi="Times New Roman"/>
          <w:b/>
          <w:color w:val="000000"/>
          <w:kern w:val="0"/>
          <w:szCs w:val="21"/>
        </w:rPr>
        <w:t xml:space="preserve"> of Convertible Bonds: Industrial Convertible Bonds    </w:t>
      </w:r>
    </w:p>
    <w:p w14:paraId="362C63E5" w14:textId="77777777" w:rsidR="00A908DF" w:rsidRPr="00F167D8" w:rsidRDefault="00A908DF">
      <w:pPr>
        <w:jc w:val="left"/>
        <w:rPr>
          <w:rFonts w:ascii="Times New Roman" w:hAnsi="Times New Roman"/>
          <w:b/>
          <w:szCs w:val="21"/>
        </w:rPr>
      </w:pPr>
    </w:p>
    <w:p w14:paraId="52444BF8" w14:textId="77777777" w:rsidR="009E37C6" w:rsidRPr="00F167D8" w:rsidRDefault="009E37C6" w:rsidP="009E37C6">
      <w:pPr>
        <w:jc w:val="center"/>
        <w:rPr>
          <w:rFonts w:ascii="Times New Roman" w:eastAsia="黑体" w:hAnsi="Times New Roman"/>
          <w:color w:val="FF0000"/>
          <w:sz w:val="36"/>
          <w:szCs w:val="36"/>
        </w:rPr>
      </w:pPr>
      <w:r w:rsidRPr="00F167D8">
        <w:rPr>
          <w:rFonts w:ascii="Times New Roman" w:eastAsia="黑体" w:hAnsi="Times New Roman"/>
          <w:color w:val="FF0000"/>
          <w:sz w:val="36"/>
          <w:szCs w:val="36"/>
        </w:rPr>
        <w:t>Industrial Bank Co., Ltd.</w:t>
      </w:r>
    </w:p>
    <w:p w14:paraId="470CD496" w14:textId="6D65DEEA" w:rsidR="009E37C6" w:rsidRPr="00F167D8" w:rsidRDefault="009E37C6">
      <w:pPr>
        <w:spacing w:line="540" w:lineRule="exact"/>
        <w:jc w:val="center"/>
        <w:rPr>
          <w:rFonts w:ascii="Times New Roman" w:eastAsia="黑体" w:hAnsi="Times New Roman"/>
          <w:color w:val="FF0000"/>
          <w:sz w:val="36"/>
          <w:szCs w:val="36"/>
        </w:rPr>
      </w:pPr>
      <w:r w:rsidRPr="00F167D8">
        <w:rPr>
          <w:rFonts w:ascii="Times New Roman" w:eastAsia="黑体" w:hAnsi="Times New Roman"/>
          <w:color w:val="FF0000"/>
          <w:sz w:val="36"/>
          <w:szCs w:val="36"/>
        </w:rPr>
        <w:t xml:space="preserve">Announcement on the CBIRC’s Approval of Share Transfer by Shareholder </w:t>
      </w:r>
    </w:p>
    <w:p w14:paraId="447A7B2A" w14:textId="77777777" w:rsidR="00A908DF" w:rsidRPr="00F167D8" w:rsidRDefault="00A908DF">
      <w:pPr>
        <w:spacing w:line="360" w:lineRule="auto"/>
        <w:ind w:firstLineChars="200" w:firstLine="480"/>
        <w:rPr>
          <w:rFonts w:ascii="Times New Roman" w:hAnsi="Times New Roman"/>
          <w:sz w:val="24"/>
        </w:rPr>
      </w:pPr>
    </w:p>
    <w:p w14:paraId="2CEAA50C" w14:textId="77777777" w:rsidR="006806A7" w:rsidRPr="00F167D8" w:rsidRDefault="006806A7" w:rsidP="006806A7">
      <w:pPr>
        <w:spacing w:line="360" w:lineRule="auto"/>
        <w:ind w:firstLineChars="200" w:firstLine="480"/>
        <w:rPr>
          <w:rFonts w:ascii="Times New Roman" w:hAnsi="Times New Roman"/>
          <w:sz w:val="24"/>
        </w:rPr>
      </w:pPr>
      <w:bookmarkStart w:id="0" w:name="_Hlk102476878"/>
      <w:bookmarkStart w:id="1" w:name="_Hlk103257972"/>
      <w:r w:rsidRPr="00F167D8">
        <w:rPr>
          <w:rFonts w:ascii="Times New Roman" w:hAnsi="Times New Roman"/>
          <w:sz w:val="24"/>
        </w:rPr>
        <w:t xml:space="preserve">The Board of Directors of the Company and all directors guarantee there’s no false account, misleading </w:t>
      </w:r>
      <w:proofErr w:type="gramStart"/>
      <w:r w:rsidRPr="00F167D8">
        <w:rPr>
          <w:rFonts w:ascii="Times New Roman" w:hAnsi="Times New Roman"/>
          <w:sz w:val="24"/>
        </w:rPr>
        <w:t>statement</w:t>
      </w:r>
      <w:proofErr w:type="gramEnd"/>
      <w:r w:rsidRPr="00F167D8">
        <w:rPr>
          <w:rFonts w:ascii="Times New Roman" w:hAnsi="Times New Roman"/>
          <w:sz w:val="24"/>
        </w:rPr>
        <w:t xml:space="preserve"> or material omissions of the announcement, and will be jointly and severally responsible for the truthfulness, accuracy and integrity of the announcement.</w:t>
      </w:r>
      <w:bookmarkEnd w:id="0"/>
    </w:p>
    <w:bookmarkEnd w:id="1"/>
    <w:p w14:paraId="3DF85AB4" w14:textId="77777777" w:rsidR="00A908DF" w:rsidRPr="00F167D8" w:rsidRDefault="00A908DF">
      <w:pPr>
        <w:spacing w:line="500" w:lineRule="exact"/>
        <w:ind w:firstLine="573"/>
        <w:rPr>
          <w:rFonts w:ascii="Times New Roman" w:hAnsi="Times New Roman"/>
          <w:sz w:val="24"/>
          <w:szCs w:val="24"/>
        </w:rPr>
      </w:pPr>
    </w:p>
    <w:p w14:paraId="644B0EA1" w14:textId="315CECB7" w:rsidR="00EB16BC" w:rsidRPr="00F167D8" w:rsidRDefault="006806A7" w:rsidP="00C2439E">
      <w:pPr>
        <w:spacing w:line="500" w:lineRule="exact"/>
        <w:ind w:firstLineChars="200" w:firstLine="480"/>
        <w:rPr>
          <w:rFonts w:ascii="Times New Roman" w:hAnsi="Times New Roman"/>
          <w:sz w:val="24"/>
          <w:szCs w:val="24"/>
        </w:rPr>
      </w:pPr>
      <w:r w:rsidRPr="00F167D8">
        <w:rPr>
          <w:rFonts w:ascii="Times New Roman" w:hAnsi="Times New Roman"/>
          <w:sz w:val="24"/>
          <w:szCs w:val="24"/>
        </w:rPr>
        <w:t xml:space="preserve">Industrial Bank Co., Ltd. (hereinafter referred to as the Company) recently received the </w:t>
      </w:r>
      <w:r w:rsidRPr="00F167D8">
        <w:rPr>
          <w:rFonts w:ascii="Times New Roman" w:hAnsi="Times New Roman"/>
          <w:i/>
          <w:iCs/>
          <w:sz w:val="24"/>
          <w:szCs w:val="24"/>
        </w:rPr>
        <w:t>Approval of China Banking and Insurance Regulatory Commission on the Qualification of Shareholders of Industrial Bank</w:t>
      </w:r>
      <w:r w:rsidRPr="00F167D8">
        <w:rPr>
          <w:rFonts w:ascii="Times New Roman" w:hAnsi="Times New Roman"/>
          <w:sz w:val="24"/>
          <w:szCs w:val="24"/>
        </w:rPr>
        <w:t xml:space="preserve"> (CBIRC Fu [2022] No. 549), in which CBIRC agreed </w:t>
      </w:r>
      <w:r w:rsidR="00EB16BC" w:rsidRPr="00F167D8">
        <w:rPr>
          <w:rFonts w:ascii="Times New Roman" w:hAnsi="Times New Roman"/>
          <w:sz w:val="24"/>
          <w:szCs w:val="24"/>
        </w:rPr>
        <w:t xml:space="preserve">on the transfer of the Company’s 3,511,918,625 </w:t>
      </w:r>
      <w:r w:rsidR="00BB27F6" w:rsidRPr="00F167D8">
        <w:rPr>
          <w:rFonts w:ascii="Times New Roman" w:hAnsi="Times New Roman" w:hint="eastAsia"/>
          <w:sz w:val="24"/>
          <w:szCs w:val="24"/>
        </w:rPr>
        <w:t>sha</w:t>
      </w:r>
      <w:r w:rsidR="00BB27F6" w:rsidRPr="00F167D8">
        <w:rPr>
          <w:rFonts w:ascii="Times New Roman" w:hAnsi="Times New Roman"/>
          <w:sz w:val="24"/>
          <w:szCs w:val="24"/>
        </w:rPr>
        <w:t xml:space="preserve">res </w:t>
      </w:r>
      <w:r w:rsidR="00EB16BC" w:rsidRPr="00F167D8">
        <w:rPr>
          <w:rFonts w:ascii="Times New Roman" w:hAnsi="Times New Roman"/>
          <w:sz w:val="24"/>
          <w:szCs w:val="24"/>
        </w:rPr>
        <w:t>held by</w:t>
      </w:r>
      <w:r w:rsidRPr="00F167D8">
        <w:rPr>
          <w:rFonts w:ascii="Times New Roman" w:hAnsi="Times New Roman"/>
          <w:sz w:val="24"/>
          <w:szCs w:val="24"/>
        </w:rPr>
        <w:t xml:space="preserve"> Fujian Provincial Department of Finance in its general account to Fujian Provincial Financial Investment Co</w:t>
      </w:r>
      <w:r w:rsidR="00EB16BC" w:rsidRPr="00F167D8">
        <w:rPr>
          <w:rFonts w:ascii="Times New Roman" w:hAnsi="Times New Roman"/>
          <w:sz w:val="24"/>
          <w:szCs w:val="24"/>
        </w:rPr>
        <w:t>., Ltd (</w:t>
      </w:r>
      <w:r w:rsidRPr="00F167D8">
        <w:rPr>
          <w:rFonts w:ascii="Times New Roman" w:hAnsi="Times New Roman"/>
          <w:sz w:val="24"/>
          <w:szCs w:val="24"/>
        </w:rPr>
        <w:t xml:space="preserve">hereinafter referred to as Fujian </w:t>
      </w:r>
      <w:r w:rsidR="003D7392" w:rsidRPr="00F167D8">
        <w:rPr>
          <w:rFonts w:ascii="Times New Roman" w:hAnsi="Times New Roman"/>
          <w:sz w:val="24"/>
          <w:szCs w:val="24"/>
        </w:rPr>
        <w:t xml:space="preserve">Financial </w:t>
      </w:r>
      <w:r w:rsidRPr="00F167D8">
        <w:rPr>
          <w:rFonts w:ascii="Times New Roman" w:hAnsi="Times New Roman"/>
          <w:sz w:val="24"/>
          <w:szCs w:val="24"/>
        </w:rPr>
        <w:t>Investment).</w:t>
      </w:r>
    </w:p>
    <w:p w14:paraId="1E46383B" w14:textId="65A5A128" w:rsidR="00EB16BC" w:rsidRPr="00F167D8" w:rsidRDefault="00EB16BC" w:rsidP="002E047E">
      <w:pPr>
        <w:spacing w:line="500" w:lineRule="exact"/>
        <w:ind w:firstLineChars="200" w:firstLine="480"/>
        <w:rPr>
          <w:rFonts w:ascii="Times New Roman" w:hAnsi="Times New Roman"/>
          <w:bCs/>
          <w:sz w:val="24"/>
          <w:szCs w:val="24"/>
        </w:rPr>
      </w:pPr>
      <w:r w:rsidRPr="00F167D8">
        <w:rPr>
          <w:rFonts w:ascii="Times New Roman" w:hAnsi="Times New Roman"/>
          <w:bCs/>
          <w:sz w:val="24"/>
          <w:szCs w:val="24"/>
        </w:rPr>
        <w:t xml:space="preserve">After the completion of the transfer, Fujian </w:t>
      </w:r>
      <w:r w:rsidR="003D7392" w:rsidRPr="00F167D8">
        <w:rPr>
          <w:rFonts w:ascii="Times New Roman" w:hAnsi="Times New Roman"/>
          <w:bCs/>
          <w:sz w:val="24"/>
          <w:szCs w:val="24"/>
        </w:rPr>
        <w:t xml:space="preserve">Financial </w:t>
      </w:r>
      <w:r w:rsidRPr="00F167D8">
        <w:rPr>
          <w:rFonts w:ascii="Times New Roman" w:hAnsi="Times New Roman"/>
          <w:bCs/>
          <w:sz w:val="24"/>
          <w:szCs w:val="24"/>
        </w:rPr>
        <w:t xml:space="preserve">Investment will hold 3,511,918,625 ordinary shares of the Company, accounting for 16.905% of the total share capital of the Company (20,774,240,963 shares as of August 24, 2022). Fujian Provincial Department of Finance </w:t>
      </w:r>
      <w:r w:rsidR="007245D3" w:rsidRPr="00F167D8">
        <w:rPr>
          <w:rFonts w:ascii="Times New Roman" w:hAnsi="Times New Roman"/>
          <w:bCs/>
          <w:sz w:val="24"/>
          <w:szCs w:val="24"/>
        </w:rPr>
        <w:t>will hold</w:t>
      </w:r>
      <w:r w:rsidRPr="00F167D8">
        <w:rPr>
          <w:rFonts w:ascii="Times New Roman" w:hAnsi="Times New Roman"/>
          <w:bCs/>
          <w:sz w:val="24"/>
          <w:szCs w:val="24"/>
        </w:rPr>
        <w:t xml:space="preserve"> an aggregate of 414,462,614 ordinary shares of the Company, representing 1.995% of the total share capital, of which 11,200,200 shares are held in the general account and 403,262,414 shares are held in the special social security transfer account. Fujian </w:t>
      </w:r>
      <w:r w:rsidR="003D7392" w:rsidRPr="00F167D8">
        <w:rPr>
          <w:rFonts w:ascii="Times New Roman" w:hAnsi="Times New Roman"/>
          <w:bCs/>
          <w:sz w:val="24"/>
          <w:szCs w:val="24"/>
        </w:rPr>
        <w:t xml:space="preserve">Financial </w:t>
      </w:r>
      <w:r w:rsidRPr="00F167D8">
        <w:rPr>
          <w:rFonts w:ascii="Times New Roman" w:hAnsi="Times New Roman"/>
          <w:bCs/>
          <w:sz w:val="24"/>
          <w:szCs w:val="24"/>
        </w:rPr>
        <w:t>Investment is a wholly</w:t>
      </w:r>
      <w:r w:rsidR="00C2439E" w:rsidRPr="00F167D8">
        <w:rPr>
          <w:rFonts w:ascii="Times New Roman" w:hAnsi="Times New Roman"/>
          <w:bCs/>
          <w:sz w:val="24"/>
          <w:szCs w:val="24"/>
        </w:rPr>
        <w:t xml:space="preserve"> </w:t>
      </w:r>
      <w:r w:rsidRPr="00F167D8">
        <w:rPr>
          <w:rFonts w:ascii="Times New Roman" w:hAnsi="Times New Roman"/>
          <w:bCs/>
          <w:sz w:val="24"/>
          <w:szCs w:val="24"/>
        </w:rPr>
        <w:t xml:space="preserve">owned subsidiary of Fujian Provincial Department of Finance. After the completion of </w:t>
      </w:r>
      <w:r w:rsidRPr="00F167D8">
        <w:rPr>
          <w:rFonts w:ascii="Times New Roman" w:hAnsi="Times New Roman"/>
          <w:bCs/>
          <w:sz w:val="24"/>
          <w:szCs w:val="24"/>
        </w:rPr>
        <w:lastRenderedPageBreak/>
        <w:t xml:space="preserve">the transfer, </w:t>
      </w:r>
      <w:r w:rsidR="00C2439E" w:rsidRPr="00F167D8">
        <w:rPr>
          <w:rFonts w:ascii="Times New Roman" w:hAnsi="Times New Roman"/>
          <w:bCs/>
          <w:sz w:val="24"/>
          <w:szCs w:val="24"/>
        </w:rPr>
        <w:t xml:space="preserve">the amount of ordinary shares held by </w:t>
      </w:r>
      <w:r w:rsidRPr="00F167D8">
        <w:rPr>
          <w:rFonts w:ascii="Times New Roman" w:hAnsi="Times New Roman"/>
          <w:bCs/>
          <w:sz w:val="24"/>
          <w:szCs w:val="24"/>
        </w:rPr>
        <w:t xml:space="preserve">Fujian Provincial Department of Finance and Fujian Investment </w:t>
      </w:r>
      <w:r w:rsidR="00C2439E" w:rsidRPr="00F167D8">
        <w:rPr>
          <w:rFonts w:ascii="Times New Roman" w:hAnsi="Times New Roman"/>
          <w:bCs/>
          <w:sz w:val="24"/>
          <w:szCs w:val="24"/>
        </w:rPr>
        <w:t>will</w:t>
      </w:r>
      <w:r w:rsidRPr="00F167D8">
        <w:rPr>
          <w:rFonts w:ascii="Times New Roman" w:hAnsi="Times New Roman"/>
          <w:bCs/>
          <w:sz w:val="24"/>
          <w:szCs w:val="24"/>
        </w:rPr>
        <w:t xml:space="preserve"> </w:t>
      </w:r>
      <w:r w:rsidR="00C2439E" w:rsidRPr="00F167D8">
        <w:rPr>
          <w:rFonts w:ascii="Times New Roman" w:hAnsi="Times New Roman"/>
          <w:bCs/>
          <w:sz w:val="24"/>
          <w:szCs w:val="24"/>
        </w:rPr>
        <w:t>total</w:t>
      </w:r>
      <w:r w:rsidRPr="00F167D8">
        <w:rPr>
          <w:rFonts w:ascii="Times New Roman" w:hAnsi="Times New Roman"/>
          <w:bCs/>
          <w:sz w:val="24"/>
          <w:szCs w:val="24"/>
        </w:rPr>
        <w:t xml:space="preserve"> 3,926,381,239, </w:t>
      </w:r>
      <w:r w:rsidR="00FF04C3" w:rsidRPr="00F167D8">
        <w:rPr>
          <w:rFonts w:ascii="Times New Roman" w:hAnsi="Times New Roman"/>
          <w:bCs/>
          <w:sz w:val="24"/>
          <w:szCs w:val="24"/>
        </w:rPr>
        <w:t xml:space="preserve">representing </w:t>
      </w:r>
      <w:r w:rsidRPr="00F167D8">
        <w:rPr>
          <w:rFonts w:ascii="Times New Roman" w:hAnsi="Times New Roman"/>
          <w:bCs/>
          <w:sz w:val="24"/>
          <w:szCs w:val="24"/>
        </w:rPr>
        <w:t>18.90% of the total share capital of the Company.</w:t>
      </w:r>
    </w:p>
    <w:p w14:paraId="593CB0D8" w14:textId="412AAE62" w:rsidR="00EB16BC" w:rsidRPr="00F167D8" w:rsidRDefault="00EB16BC" w:rsidP="00946B6E">
      <w:pPr>
        <w:adjustRightInd w:val="0"/>
        <w:snapToGrid w:val="0"/>
        <w:spacing w:line="500" w:lineRule="exact"/>
        <w:ind w:firstLine="480"/>
        <w:outlineLvl w:val="0"/>
        <w:rPr>
          <w:rFonts w:ascii="Times New Roman" w:hAnsi="Times New Roman"/>
          <w:sz w:val="24"/>
          <w:szCs w:val="24"/>
        </w:rPr>
      </w:pPr>
      <w:r w:rsidRPr="00F167D8">
        <w:rPr>
          <w:rFonts w:ascii="Times New Roman" w:hAnsi="Times New Roman"/>
          <w:sz w:val="24"/>
          <w:szCs w:val="24"/>
        </w:rPr>
        <w:t xml:space="preserve">The transfer of shares is </w:t>
      </w:r>
      <w:r w:rsidR="00C2439E" w:rsidRPr="00F167D8">
        <w:rPr>
          <w:rFonts w:ascii="Times New Roman" w:hAnsi="Times New Roman"/>
          <w:sz w:val="24"/>
          <w:szCs w:val="24"/>
        </w:rPr>
        <w:t>still pending the</w:t>
      </w:r>
      <w:r w:rsidRPr="00F167D8">
        <w:rPr>
          <w:rFonts w:ascii="Times New Roman" w:hAnsi="Times New Roman"/>
          <w:sz w:val="24"/>
          <w:szCs w:val="24"/>
        </w:rPr>
        <w:t xml:space="preserve"> confirmation of compliance by the Shanghai Stock Exchange and the registration of the transfer at the Shanghai branch of China Securities Depository and Clearing Corporation Limited. The Company will continue to follow up the progress of the above matters and perform its information disclosure obligations in a timely manner in accordance with the laws and regulations.</w:t>
      </w:r>
    </w:p>
    <w:p w14:paraId="2F7DF40A" w14:textId="77777777" w:rsidR="00EB16BC" w:rsidRPr="00F167D8" w:rsidRDefault="00EB16BC" w:rsidP="00EB16BC">
      <w:pPr>
        <w:spacing w:line="360" w:lineRule="auto"/>
        <w:ind w:firstLineChars="200" w:firstLine="480"/>
        <w:rPr>
          <w:rFonts w:ascii="Times New Roman" w:hAnsi="Times New Roman"/>
          <w:sz w:val="24"/>
        </w:rPr>
      </w:pPr>
      <w:r w:rsidRPr="00F167D8">
        <w:rPr>
          <w:rFonts w:ascii="Times New Roman" w:hAnsi="Times New Roman"/>
          <w:sz w:val="24"/>
        </w:rPr>
        <w:t xml:space="preserve">It is hereby announced. </w:t>
      </w:r>
    </w:p>
    <w:p w14:paraId="0E07FEF9" w14:textId="77777777" w:rsidR="00EB16BC" w:rsidRPr="00F167D8" w:rsidRDefault="00EB16BC" w:rsidP="00EB16BC">
      <w:pPr>
        <w:spacing w:line="360" w:lineRule="exact"/>
        <w:ind w:firstLine="880"/>
        <w:rPr>
          <w:rFonts w:ascii="Times New Roman" w:hAnsi="Times New Roman"/>
          <w:sz w:val="24"/>
        </w:rPr>
      </w:pPr>
    </w:p>
    <w:p w14:paraId="63CD5A0A" w14:textId="77777777" w:rsidR="00EB16BC" w:rsidRPr="00F167D8" w:rsidRDefault="00EB16BC" w:rsidP="00EB16BC">
      <w:pPr>
        <w:spacing w:line="360" w:lineRule="auto"/>
        <w:ind w:right="480" w:firstLineChars="200" w:firstLine="480"/>
        <w:jc w:val="right"/>
        <w:rPr>
          <w:rFonts w:ascii="Times New Roman" w:hAnsi="Times New Roman"/>
          <w:sz w:val="24"/>
        </w:rPr>
      </w:pPr>
      <w:r w:rsidRPr="00F167D8">
        <w:rPr>
          <w:rFonts w:ascii="Times New Roman" w:hAnsi="Times New Roman"/>
          <w:sz w:val="24"/>
        </w:rPr>
        <w:t xml:space="preserve">Board of Directors of Industrial Bank Co., Ltd. </w:t>
      </w:r>
    </w:p>
    <w:p w14:paraId="58042BB1" w14:textId="1B2D2A17" w:rsidR="00EB16BC" w:rsidRPr="00AF4E58" w:rsidRDefault="00EB16BC" w:rsidP="00EB16BC">
      <w:pPr>
        <w:spacing w:line="360" w:lineRule="auto"/>
        <w:ind w:right="480" w:firstLineChars="200" w:firstLine="480"/>
        <w:jc w:val="right"/>
        <w:rPr>
          <w:rFonts w:ascii="Times New Roman" w:hAnsi="Times New Roman"/>
          <w:sz w:val="24"/>
        </w:rPr>
      </w:pPr>
      <w:r w:rsidRPr="00F167D8">
        <w:rPr>
          <w:rFonts w:ascii="Times New Roman" w:hAnsi="Times New Roman"/>
          <w:sz w:val="24"/>
        </w:rPr>
        <w:t>August 25, 2022</w:t>
      </w:r>
    </w:p>
    <w:p w14:paraId="409C84D4" w14:textId="77777777" w:rsidR="00A908DF" w:rsidRPr="006806A7" w:rsidRDefault="00A908DF">
      <w:pPr>
        <w:spacing w:line="560" w:lineRule="exact"/>
        <w:ind w:firstLine="573"/>
        <w:rPr>
          <w:rFonts w:ascii="Times New Roman" w:hAnsi="Times New Roman"/>
          <w:sz w:val="28"/>
          <w:szCs w:val="28"/>
        </w:rPr>
      </w:pPr>
    </w:p>
    <w:sectPr w:rsidR="00A908DF" w:rsidRPr="006806A7">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E14F" w14:textId="77777777" w:rsidR="001E1510" w:rsidRDefault="001E1510">
      <w:r>
        <w:separator/>
      </w:r>
    </w:p>
  </w:endnote>
  <w:endnote w:type="continuationSeparator" w:id="0">
    <w:p w14:paraId="55310746" w14:textId="77777777" w:rsidR="001E1510" w:rsidRDefault="001E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19EE" w14:textId="77777777" w:rsidR="001E1510" w:rsidRDefault="001E1510">
      <w:r>
        <w:separator/>
      </w:r>
    </w:p>
  </w:footnote>
  <w:footnote w:type="continuationSeparator" w:id="0">
    <w:p w14:paraId="1E9486F3" w14:textId="77777777" w:rsidR="001E1510" w:rsidRDefault="001E1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4A26"/>
    <w:rsid w:val="000119AC"/>
    <w:rsid w:val="00023650"/>
    <w:rsid w:val="0002434D"/>
    <w:rsid w:val="00025F1A"/>
    <w:rsid w:val="000260F7"/>
    <w:rsid w:val="00030027"/>
    <w:rsid w:val="0003744C"/>
    <w:rsid w:val="000468B0"/>
    <w:rsid w:val="00055532"/>
    <w:rsid w:val="00074D03"/>
    <w:rsid w:val="000B4746"/>
    <w:rsid w:val="0010193E"/>
    <w:rsid w:val="0011172C"/>
    <w:rsid w:val="00133266"/>
    <w:rsid w:val="001404C3"/>
    <w:rsid w:val="00172A27"/>
    <w:rsid w:val="00186513"/>
    <w:rsid w:val="00192164"/>
    <w:rsid w:val="001C2006"/>
    <w:rsid w:val="001C3468"/>
    <w:rsid w:val="001D30EE"/>
    <w:rsid w:val="001E1510"/>
    <w:rsid w:val="0021019F"/>
    <w:rsid w:val="002139E9"/>
    <w:rsid w:val="00231BA6"/>
    <w:rsid w:val="00231BEA"/>
    <w:rsid w:val="00242084"/>
    <w:rsid w:val="00272A6D"/>
    <w:rsid w:val="00280A00"/>
    <w:rsid w:val="002A4572"/>
    <w:rsid w:val="002A7848"/>
    <w:rsid w:val="002E047E"/>
    <w:rsid w:val="002E2758"/>
    <w:rsid w:val="002E41FC"/>
    <w:rsid w:val="00323E42"/>
    <w:rsid w:val="0032754F"/>
    <w:rsid w:val="0033234A"/>
    <w:rsid w:val="00344801"/>
    <w:rsid w:val="00362BC5"/>
    <w:rsid w:val="0036325C"/>
    <w:rsid w:val="00385A88"/>
    <w:rsid w:val="003A1E05"/>
    <w:rsid w:val="003B0A84"/>
    <w:rsid w:val="003B6D09"/>
    <w:rsid w:val="003C3569"/>
    <w:rsid w:val="003C5C46"/>
    <w:rsid w:val="003D7392"/>
    <w:rsid w:val="003E13AB"/>
    <w:rsid w:val="003E79CF"/>
    <w:rsid w:val="003E7CDF"/>
    <w:rsid w:val="00403288"/>
    <w:rsid w:val="00417352"/>
    <w:rsid w:val="00457866"/>
    <w:rsid w:val="00463CC5"/>
    <w:rsid w:val="004A4624"/>
    <w:rsid w:val="004C0D70"/>
    <w:rsid w:val="004C7F80"/>
    <w:rsid w:val="004E3740"/>
    <w:rsid w:val="004E3F9C"/>
    <w:rsid w:val="00510019"/>
    <w:rsid w:val="00511B7D"/>
    <w:rsid w:val="00514045"/>
    <w:rsid w:val="00514206"/>
    <w:rsid w:val="0051581C"/>
    <w:rsid w:val="005171FC"/>
    <w:rsid w:val="00536A73"/>
    <w:rsid w:val="0055302A"/>
    <w:rsid w:val="00570B32"/>
    <w:rsid w:val="00593BE2"/>
    <w:rsid w:val="005B3EBB"/>
    <w:rsid w:val="005D1D5E"/>
    <w:rsid w:val="005E4D2C"/>
    <w:rsid w:val="005E556A"/>
    <w:rsid w:val="005E56E7"/>
    <w:rsid w:val="006115EF"/>
    <w:rsid w:val="00612E89"/>
    <w:rsid w:val="00614053"/>
    <w:rsid w:val="006165E7"/>
    <w:rsid w:val="00623F75"/>
    <w:rsid w:val="00642394"/>
    <w:rsid w:val="00651370"/>
    <w:rsid w:val="00666124"/>
    <w:rsid w:val="006806A7"/>
    <w:rsid w:val="006917D6"/>
    <w:rsid w:val="006A2189"/>
    <w:rsid w:val="006C0DEF"/>
    <w:rsid w:val="006C11D7"/>
    <w:rsid w:val="006C5236"/>
    <w:rsid w:val="006E0102"/>
    <w:rsid w:val="00705281"/>
    <w:rsid w:val="007074F9"/>
    <w:rsid w:val="00716A8C"/>
    <w:rsid w:val="007245D3"/>
    <w:rsid w:val="007411F2"/>
    <w:rsid w:val="0074436D"/>
    <w:rsid w:val="00763988"/>
    <w:rsid w:val="007829F9"/>
    <w:rsid w:val="007D5B74"/>
    <w:rsid w:val="007F4DF5"/>
    <w:rsid w:val="00814E68"/>
    <w:rsid w:val="00815E46"/>
    <w:rsid w:val="008308D6"/>
    <w:rsid w:val="00847C7B"/>
    <w:rsid w:val="008506C5"/>
    <w:rsid w:val="008513A9"/>
    <w:rsid w:val="00871ECE"/>
    <w:rsid w:val="008914D5"/>
    <w:rsid w:val="008A0AFB"/>
    <w:rsid w:val="008B04A1"/>
    <w:rsid w:val="008B513D"/>
    <w:rsid w:val="008C43C9"/>
    <w:rsid w:val="008C6F8D"/>
    <w:rsid w:val="008D30B2"/>
    <w:rsid w:val="008E1FC9"/>
    <w:rsid w:val="008F02A1"/>
    <w:rsid w:val="008F3A89"/>
    <w:rsid w:val="00903856"/>
    <w:rsid w:val="00905083"/>
    <w:rsid w:val="0090688A"/>
    <w:rsid w:val="00936CD6"/>
    <w:rsid w:val="0094160E"/>
    <w:rsid w:val="00946B6E"/>
    <w:rsid w:val="00967C03"/>
    <w:rsid w:val="00975E8C"/>
    <w:rsid w:val="009C2AEA"/>
    <w:rsid w:val="009D1503"/>
    <w:rsid w:val="009E37C6"/>
    <w:rsid w:val="009F2FE5"/>
    <w:rsid w:val="009F7F36"/>
    <w:rsid w:val="00A01F86"/>
    <w:rsid w:val="00A1176A"/>
    <w:rsid w:val="00A16E63"/>
    <w:rsid w:val="00A50B64"/>
    <w:rsid w:val="00A62E26"/>
    <w:rsid w:val="00A83B50"/>
    <w:rsid w:val="00A908DF"/>
    <w:rsid w:val="00A91F0B"/>
    <w:rsid w:val="00A9395B"/>
    <w:rsid w:val="00A94157"/>
    <w:rsid w:val="00AA3BB1"/>
    <w:rsid w:val="00AC3867"/>
    <w:rsid w:val="00AE6280"/>
    <w:rsid w:val="00AF282E"/>
    <w:rsid w:val="00AF6A68"/>
    <w:rsid w:val="00B2145E"/>
    <w:rsid w:val="00B52CBD"/>
    <w:rsid w:val="00B6711E"/>
    <w:rsid w:val="00B7473F"/>
    <w:rsid w:val="00B93D7B"/>
    <w:rsid w:val="00BA1B15"/>
    <w:rsid w:val="00BB27F6"/>
    <w:rsid w:val="00BC0F4D"/>
    <w:rsid w:val="00BC2C40"/>
    <w:rsid w:val="00BC483F"/>
    <w:rsid w:val="00BD70F6"/>
    <w:rsid w:val="00BD7DD8"/>
    <w:rsid w:val="00BE06E3"/>
    <w:rsid w:val="00BF3F51"/>
    <w:rsid w:val="00C102EC"/>
    <w:rsid w:val="00C2063D"/>
    <w:rsid w:val="00C2439E"/>
    <w:rsid w:val="00C4723E"/>
    <w:rsid w:val="00C550A4"/>
    <w:rsid w:val="00C71877"/>
    <w:rsid w:val="00C74FED"/>
    <w:rsid w:val="00C75679"/>
    <w:rsid w:val="00C75C33"/>
    <w:rsid w:val="00C80CB9"/>
    <w:rsid w:val="00C86DF9"/>
    <w:rsid w:val="00C903C3"/>
    <w:rsid w:val="00C9046D"/>
    <w:rsid w:val="00C95FA3"/>
    <w:rsid w:val="00CB3017"/>
    <w:rsid w:val="00CB7050"/>
    <w:rsid w:val="00CC252F"/>
    <w:rsid w:val="00CD6A4B"/>
    <w:rsid w:val="00D671BA"/>
    <w:rsid w:val="00D9715E"/>
    <w:rsid w:val="00DD0F8B"/>
    <w:rsid w:val="00DD45DC"/>
    <w:rsid w:val="00DE5DA5"/>
    <w:rsid w:val="00E12988"/>
    <w:rsid w:val="00E1387A"/>
    <w:rsid w:val="00E1763D"/>
    <w:rsid w:val="00E36841"/>
    <w:rsid w:val="00E420CD"/>
    <w:rsid w:val="00E469C2"/>
    <w:rsid w:val="00E4785F"/>
    <w:rsid w:val="00E65AEF"/>
    <w:rsid w:val="00E75F69"/>
    <w:rsid w:val="00E7792C"/>
    <w:rsid w:val="00E81B6E"/>
    <w:rsid w:val="00EA48F1"/>
    <w:rsid w:val="00EB16BC"/>
    <w:rsid w:val="00EB30A4"/>
    <w:rsid w:val="00EC11A9"/>
    <w:rsid w:val="00EC687E"/>
    <w:rsid w:val="00EF3336"/>
    <w:rsid w:val="00EF5704"/>
    <w:rsid w:val="00F167D8"/>
    <w:rsid w:val="00F21ED7"/>
    <w:rsid w:val="00F55C2F"/>
    <w:rsid w:val="00F67B86"/>
    <w:rsid w:val="00F84ADF"/>
    <w:rsid w:val="00F931A3"/>
    <w:rsid w:val="00FA0E96"/>
    <w:rsid w:val="00FA7FAF"/>
    <w:rsid w:val="00FB4061"/>
    <w:rsid w:val="00FC2F72"/>
    <w:rsid w:val="00FE7B87"/>
    <w:rsid w:val="00FF04C3"/>
    <w:rsid w:val="00FF6C86"/>
    <w:rsid w:val="02F33B9E"/>
    <w:rsid w:val="07B54EC6"/>
    <w:rsid w:val="07E4653C"/>
    <w:rsid w:val="122511FB"/>
    <w:rsid w:val="1F3A207D"/>
    <w:rsid w:val="2DDD57F8"/>
    <w:rsid w:val="320F6027"/>
    <w:rsid w:val="32A97C6D"/>
    <w:rsid w:val="39DC3E01"/>
    <w:rsid w:val="3FB738AB"/>
    <w:rsid w:val="44054765"/>
    <w:rsid w:val="4B2545A3"/>
    <w:rsid w:val="54D23459"/>
    <w:rsid w:val="57395364"/>
    <w:rsid w:val="5B4C4811"/>
    <w:rsid w:val="5FD34060"/>
    <w:rsid w:val="60AC1290"/>
    <w:rsid w:val="64AB070B"/>
    <w:rsid w:val="697B5879"/>
    <w:rsid w:val="6A2C413A"/>
    <w:rsid w:val="6F3C329A"/>
    <w:rsid w:val="7C2C6946"/>
    <w:rsid w:val="7F3178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0F96A"/>
  <w15:docId w15:val="{B13D3613-ACAA-8E41-BC53-A5E96EF5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qFormat/>
    <w:pPr>
      <w:ind w:leftChars="2500" w:left="100"/>
    </w:pPr>
    <w:rPr>
      <w:rFonts w:ascii="Times New Roman" w:hAnsi="Times New Roman"/>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semiHidden/>
    <w:unhideWhenUsed/>
    <w:qFormat/>
    <w:rPr>
      <w:b/>
      <w:bCs/>
    </w:r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8">
    <w:name w:val="批注框文本 字符"/>
    <w:basedOn w:val="a0"/>
    <w:link w:val="a7"/>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f">
    <w:name w:val="批注主题 字符"/>
    <w:basedOn w:val="a4"/>
    <w:link w:val="ae"/>
    <w:uiPriority w:val="99"/>
    <w:semiHidden/>
    <w:qFormat/>
    <w:rPr>
      <w:b/>
      <w:bCs/>
      <w:kern w:val="2"/>
      <w:sz w:val="21"/>
      <w:szCs w:val="22"/>
    </w:rPr>
  </w:style>
  <w:style w:type="character" w:customStyle="1" w:styleId="a6">
    <w:name w:val="日期 字符"/>
    <w:basedOn w:val="a0"/>
    <w:link w:val="a5"/>
    <w:qFormat/>
    <w:rPr>
      <w:rFonts w:ascii="Times New Roman" w:hAnsi="Times New Roman"/>
      <w:kern w:val="2"/>
      <w:sz w:val="21"/>
      <w:szCs w:val="24"/>
    </w:rPr>
  </w:style>
  <w:style w:type="paragraph" w:styleId="af1">
    <w:name w:val="List Paragraph"/>
    <w:basedOn w:val="a"/>
    <w:uiPriority w:val="99"/>
    <w:qFormat/>
    <w:pPr>
      <w:ind w:firstLineChars="200" w:firstLine="420"/>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386</Words>
  <Characters>2206</Characters>
  <Application>Microsoft Office Word</Application>
  <DocSecurity>0</DocSecurity>
  <Lines>18</Lines>
  <Paragraphs>5</Paragraphs>
  <ScaleCrop>false</ScaleCrop>
  <Company>CIB</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Luo Cindy</cp:lastModifiedBy>
  <cp:revision>55</cp:revision>
  <cp:lastPrinted>2022-08-25T10:39:00Z</cp:lastPrinted>
  <dcterms:created xsi:type="dcterms:W3CDTF">2021-10-22T07:07:00Z</dcterms:created>
  <dcterms:modified xsi:type="dcterms:W3CDTF">2022-09-09T02:54:00Z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