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5AAA" w14:textId="4371B1B3" w:rsidR="008346F6" w:rsidRPr="00F7477F" w:rsidRDefault="008346F6" w:rsidP="008346F6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Announcement Code: TEMP 2022-</w:t>
      </w:r>
      <w:r>
        <w:rPr>
          <w:rFonts w:ascii="Times New Roman" w:hAnsi="Times New Roman" w:cs="Times New Roman"/>
          <w:b/>
          <w:color w:val="000000"/>
          <w:szCs w:val="21"/>
        </w:rPr>
        <w:t>059</w:t>
      </w:r>
    </w:p>
    <w:p w14:paraId="69CF255D" w14:textId="77777777" w:rsidR="008346F6" w:rsidRPr="00F7477F" w:rsidRDefault="008346F6" w:rsidP="008346F6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A Share: 601166            Abbreviation of A Share: Industrial Bank</w:t>
      </w:r>
    </w:p>
    <w:p w14:paraId="4AD9596B" w14:textId="77777777" w:rsidR="008346F6" w:rsidRPr="00F7477F" w:rsidRDefault="008346F6" w:rsidP="008346F6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Preferred Stock: 360005, 360012, 360032     Abbreviation of Preferred Stock: Industrial Preferred 1, Industrial Preferred 2, Industrial Preferred 3</w:t>
      </w:r>
    </w:p>
    <w:p w14:paraId="0F4848A6" w14:textId="77777777" w:rsidR="008346F6" w:rsidRPr="00F7477F" w:rsidRDefault="008346F6" w:rsidP="008346F6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Convertible Bonds:</w:t>
      </w:r>
      <w:proofErr w:type="gramStart"/>
      <w:r w:rsidRPr="00F7477F">
        <w:rPr>
          <w:rFonts w:ascii="Times New Roman" w:hAnsi="Times New Roman" w:cs="Times New Roman"/>
          <w:b/>
          <w:color w:val="000000"/>
          <w:szCs w:val="21"/>
        </w:rPr>
        <w:t>113052  Abbreviation</w:t>
      </w:r>
      <w:proofErr w:type="gramEnd"/>
      <w:r w:rsidRPr="00F7477F">
        <w:rPr>
          <w:rFonts w:ascii="Times New Roman" w:hAnsi="Times New Roman" w:cs="Times New Roman"/>
          <w:b/>
          <w:color w:val="000000"/>
          <w:szCs w:val="21"/>
        </w:rPr>
        <w:t xml:space="preserve"> of Convertible Bonds: Industrial Convertible Bonds  </w:t>
      </w:r>
    </w:p>
    <w:p w14:paraId="09D2127F" w14:textId="77777777" w:rsidR="008346F6" w:rsidRPr="008346F6" w:rsidRDefault="008346F6">
      <w:pPr>
        <w:spacing w:before="132" w:line="357" w:lineRule="auto"/>
        <w:ind w:left="658" w:right="680"/>
        <w:rPr>
          <w:rFonts w:ascii="Times New Roman" w:hAnsi="Times New Roman" w:cs="Times New Roman"/>
          <w:sz w:val="21"/>
        </w:rPr>
      </w:pPr>
    </w:p>
    <w:p w14:paraId="6FC05C75" w14:textId="6FC9DB20" w:rsidR="008346F6" w:rsidRDefault="008346F6" w:rsidP="008346F6">
      <w:pPr>
        <w:jc w:val="center"/>
        <w:rPr>
          <w:rFonts w:ascii="Times New Roman" w:eastAsia="黑体" w:hAnsi="Times New Roman" w:cs="Times New Roman"/>
          <w:color w:val="FF0000"/>
          <w:sz w:val="36"/>
          <w:szCs w:val="36"/>
        </w:rPr>
      </w:pPr>
      <w:r w:rsidRPr="00B66B71">
        <w:rPr>
          <w:rFonts w:ascii="Times New Roman" w:eastAsia="黑体" w:hAnsi="Times New Roman" w:cs="Times New Roman"/>
          <w:color w:val="FF0000"/>
          <w:sz w:val="36"/>
          <w:szCs w:val="36"/>
        </w:rPr>
        <w:t>Industrial Bank Co., Ltd.</w:t>
      </w:r>
    </w:p>
    <w:p w14:paraId="2DE8440D" w14:textId="79F70D0C" w:rsidR="008346F6" w:rsidRPr="008346F6" w:rsidRDefault="008346F6" w:rsidP="008346F6">
      <w:pPr>
        <w:jc w:val="center"/>
        <w:rPr>
          <w:rFonts w:ascii="Times New Roman" w:eastAsia="黑体" w:hAnsi="Times New Roman" w:cs="Times New Roman"/>
          <w:color w:val="FF0000"/>
          <w:sz w:val="36"/>
          <w:szCs w:val="36"/>
        </w:rPr>
      </w:pPr>
      <w:r>
        <w:rPr>
          <w:rFonts w:ascii="Times New Roman" w:eastAsia="黑体" w:hAnsi="Times New Roman" w:cs="Times New Roman" w:hint="eastAsia"/>
          <w:color w:val="FF0000"/>
          <w:sz w:val="36"/>
          <w:szCs w:val="36"/>
        </w:rPr>
        <w:t>A</w:t>
      </w:r>
      <w:r>
        <w:rPr>
          <w:rFonts w:ascii="Times New Roman" w:eastAsia="黑体" w:hAnsi="Times New Roman" w:cs="Times New Roman"/>
          <w:color w:val="FF0000"/>
          <w:sz w:val="36"/>
          <w:szCs w:val="36"/>
        </w:rPr>
        <w:t>nnouncement on the Correction of Third Quarter 2022 Report</w:t>
      </w:r>
    </w:p>
    <w:p w14:paraId="70FFF85D" w14:textId="77777777" w:rsidR="00C60E7E" w:rsidRPr="008346F6" w:rsidRDefault="00C60E7E">
      <w:pPr>
        <w:pStyle w:val="a3"/>
        <w:rPr>
          <w:rFonts w:ascii="Times New Roman" w:hAnsi="Times New Roman" w:cs="Times New Roman"/>
          <w:sz w:val="33"/>
        </w:rPr>
      </w:pPr>
    </w:p>
    <w:p w14:paraId="503D3D58" w14:textId="77777777" w:rsidR="009A1F5A" w:rsidRDefault="008346F6" w:rsidP="009A1F5A">
      <w:pPr>
        <w:pStyle w:val="a3"/>
        <w:rPr>
          <w:rFonts w:ascii="Times New Roman" w:hAnsi="Times New Roman" w:cs="Times New Roman"/>
        </w:rPr>
      </w:pPr>
      <w:r w:rsidRPr="008346F6">
        <w:rPr>
          <w:rFonts w:ascii="Times New Roman" w:hAnsi="Times New Roman" w:cs="Times New Roman"/>
          <w:spacing w:val="-5"/>
        </w:rPr>
        <w:t xml:space="preserve">The Board of Directors and all directors warrant the truthfulness, accuracy and completeness of the announcement and will bear the joint and several liabilities for any false record, misleading </w:t>
      </w:r>
      <w:proofErr w:type="gramStart"/>
      <w:r w:rsidRPr="008346F6">
        <w:rPr>
          <w:rFonts w:ascii="Times New Roman" w:hAnsi="Times New Roman" w:cs="Times New Roman"/>
          <w:spacing w:val="-5"/>
        </w:rPr>
        <w:t>statement</w:t>
      </w:r>
      <w:proofErr w:type="gramEnd"/>
      <w:r w:rsidRPr="008346F6">
        <w:rPr>
          <w:rFonts w:ascii="Times New Roman" w:hAnsi="Times New Roman" w:cs="Times New Roman"/>
          <w:spacing w:val="-5"/>
        </w:rPr>
        <w:t xml:space="preserve"> or major omission in the announcement.</w:t>
      </w:r>
    </w:p>
    <w:p w14:paraId="096888A2" w14:textId="77777777" w:rsidR="009A1F5A" w:rsidRDefault="009A1F5A" w:rsidP="009A1F5A">
      <w:pPr>
        <w:pStyle w:val="a3"/>
        <w:rPr>
          <w:rFonts w:ascii="Times New Roman" w:hAnsi="Times New Roman" w:cs="Times New Roman"/>
        </w:rPr>
      </w:pPr>
    </w:p>
    <w:p w14:paraId="69BE982D" w14:textId="1FE59230" w:rsidR="00C60E7E" w:rsidRDefault="008346F6" w:rsidP="009A1F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found by verification that the </w:t>
      </w:r>
      <w:r w:rsidR="009A1F5A" w:rsidRPr="008346F6">
        <w:rPr>
          <w:rFonts w:ascii="Times New Roman" w:hAnsi="Times New Roman" w:cs="Times New Roman"/>
        </w:rPr>
        <w:t xml:space="preserve">capital adequacy ratio as of September 30, 2022 </w:t>
      </w:r>
      <w:r w:rsidR="009A1F5A">
        <w:rPr>
          <w:rFonts w:ascii="Times New Roman" w:hAnsi="Times New Roman" w:cs="Times New Roman"/>
        </w:rPr>
        <w:t xml:space="preserve">presented in the table </w:t>
      </w:r>
      <w:proofErr w:type="gramStart"/>
      <w:r w:rsidR="009A1F5A">
        <w:rPr>
          <w:rFonts w:ascii="Times New Roman" w:hAnsi="Times New Roman" w:cs="Times New Roman"/>
        </w:rPr>
        <w:t xml:space="preserve">of </w:t>
      </w:r>
      <w:r w:rsidR="009A1F5A" w:rsidRPr="008346F6">
        <w:rPr>
          <w:rFonts w:ascii="Times New Roman" w:hAnsi="Times New Roman" w:cs="Times New Roman"/>
        </w:rPr>
        <w:t xml:space="preserve"> </w:t>
      </w:r>
      <w:r w:rsidR="009A1F5A" w:rsidRPr="009A1F5A">
        <w:rPr>
          <w:rFonts w:ascii="Times New Roman" w:hAnsi="Times New Roman" w:cs="Times New Roman"/>
          <w:i/>
          <w:iCs/>
        </w:rPr>
        <w:t>I.</w:t>
      </w:r>
      <w:proofErr w:type="gramEnd"/>
      <w:r w:rsidR="009A1F5A" w:rsidRPr="009A1F5A">
        <w:rPr>
          <w:rFonts w:ascii="Times New Roman" w:hAnsi="Times New Roman" w:cs="Times New Roman"/>
          <w:i/>
          <w:iCs/>
        </w:rPr>
        <w:t xml:space="preserve"> Key Financial Data (</w:t>
      </w:r>
      <w:r w:rsidR="009A1F5A" w:rsidRPr="009A1F5A">
        <w:rPr>
          <w:rFonts w:ascii="Times New Roman" w:hAnsi="Times New Roman" w:cs="Times New Roman" w:hint="eastAsia"/>
          <w:i/>
          <w:iCs/>
        </w:rPr>
        <w:t>v</w:t>
      </w:r>
      <w:r w:rsidR="009A1F5A" w:rsidRPr="009A1F5A">
        <w:rPr>
          <w:rFonts w:ascii="Times New Roman" w:hAnsi="Times New Roman" w:cs="Times New Roman"/>
          <w:i/>
          <w:iCs/>
        </w:rPr>
        <w:t xml:space="preserve">) Capital Adequacy Ratio </w:t>
      </w:r>
      <w:r w:rsidR="009A1F5A">
        <w:rPr>
          <w:rFonts w:ascii="Times New Roman" w:hAnsi="Times New Roman" w:cs="Times New Roman"/>
        </w:rPr>
        <w:t xml:space="preserve">of </w:t>
      </w:r>
      <w:r w:rsidRPr="009A1F5A">
        <w:rPr>
          <w:rFonts w:ascii="Times New Roman" w:hAnsi="Times New Roman" w:cs="Times New Roman"/>
          <w:i/>
          <w:iCs/>
        </w:rPr>
        <w:t xml:space="preserve">Third Quarter 2022 Report </w:t>
      </w:r>
      <w:r>
        <w:rPr>
          <w:rFonts w:ascii="Times New Roman" w:hAnsi="Times New Roman" w:cs="Times New Roman"/>
        </w:rPr>
        <w:t>disclosed by Industrial Bank Co., Ltd</w:t>
      </w:r>
      <w:r w:rsidRPr="008346F6">
        <w:rPr>
          <w:rFonts w:ascii="Times New Roman" w:hAnsi="Times New Roman" w:cs="Times New Roman"/>
        </w:rPr>
        <w:t xml:space="preserve"> (hereinafter referred to as the Company) is incorrect</w:t>
      </w:r>
      <w:r w:rsidR="009A1F5A">
        <w:rPr>
          <w:rFonts w:ascii="Times New Roman" w:hAnsi="Times New Roman" w:cs="Times New Roman"/>
        </w:rPr>
        <w:t xml:space="preserve"> and </w:t>
      </w:r>
      <w:r w:rsidRPr="008346F6">
        <w:rPr>
          <w:rFonts w:ascii="Times New Roman" w:hAnsi="Times New Roman" w:cs="Times New Roman"/>
        </w:rPr>
        <w:t>should be 14.45%.</w:t>
      </w:r>
      <w:r w:rsidR="009A1F5A">
        <w:rPr>
          <w:rFonts w:ascii="Times New Roman" w:hAnsi="Times New Roman" w:cs="Times New Roman"/>
        </w:rPr>
        <w:t xml:space="preserve"> </w:t>
      </w:r>
      <w:r w:rsidRPr="008346F6">
        <w:rPr>
          <w:rFonts w:ascii="Times New Roman" w:hAnsi="Times New Roman" w:cs="Times New Roman"/>
        </w:rPr>
        <w:t>The correction is as follows</w:t>
      </w:r>
      <w:r w:rsidR="003B36DC">
        <w:rPr>
          <w:rFonts w:ascii="Times New Roman" w:hAnsi="Times New Roman" w:cs="Times New Roman" w:hint="eastAsia"/>
        </w:rPr>
        <w:t>:</w:t>
      </w:r>
    </w:p>
    <w:p w14:paraId="249CF8D5" w14:textId="77777777" w:rsidR="002D6BEC" w:rsidRPr="008346F6" w:rsidRDefault="002D6BEC" w:rsidP="009A1F5A">
      <w:pPr>
        <w:pStyle w:val="a3"/>
        <w:rPr>
          <w:rFonts w:ascii="Times New Roman" w:hAnsi="Times New Roman" w:cs="Times New Roman"/>
        </w:rPr>
      </w:pPr>
    </w:p>
    <w:p w14:paraId="4FE0EDDC" w14:textId="0C4E73DC" w:rsidR="00C60E7E" w:rsidRDefault="008346F6" w:rsidP="009A1F5A">
      <w:pPr>
        <w:pStyle w:val="a3"/>
        <w:wordWrap w:val="0"/>
        <w:spacing w:before="45"/>
        <w:ind w:right="72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. Before </w:t>
      </w:r>
      <w:r w:rsidR="002D6BEC">
        <w:rPr>
          <w:rFonts w:ascii="Times New Roman" w:hAnsi="Times New Roman" w:cs="Times New Roman"/>
        </w:rPr>
        <w:t xml:space="preserve">Correction </w:t>
      </w:r>
      <w:r>
        <w:rPr>
          <w:rFonts w:ascii="Times New Roman" w:hAnsi="Times New Roman" w:cs="Times New Roman"/>
        </w:rPr>
        <w:t xml:space="preserve"> </w:t>
      </w:r>
    </w:p>
    <w:p w14:paraId="6E36F4E1" w14:textId="77777777" w:rsidR="008346F6" w:rsidRPr="008346F6" w:rsidRDefault="008346F6" w:rsidP="008346F6">
      <w:pPr>
        <w:pStyle w:val="a3"/>
        <w:spacing w:before="45"/>
        <w:ind w:left="480" w:right="7519"/>
        <w:jc w:val="right"/>
        <w:rPr>
          <w:rFonts w:ascii="Times New Roman" w:hAnsi="Times New Roman" w:cs="Times New Roman"/>
        </w:rPr>
      </w:pPr>
    </w:p>
    <w:p w14:paraId="0311DFE6" w14:textId="79F750D9" w:rsidR="00C60E7E" w:rsidRPr="008346F6" w:rsidRDefault="00000000" w:rsidP="008346F6">
      <w:pPr>
        <w:pStyle w:val="a3"/>
        <w:wordWrap w:val="0"/>
        <w:spacing w:before="82"/>
        <w:ind w:right="6926"/>
        <w:jc w:val="right"/>
        <w:rPr>
          <w:rFonts w:ascii="Times New Roman" w:hAnsi="Times New Roman" w:cs="Times New Roman"/>
        </w:rPr>
      </w:pPr>
      <w:r w:rsidRPr="008346F6">
        <w:rPr>
          <w:rFonts w:ascii="Times New Roman" w:hAnsi="Times New Roman" w:cs="Times New Roman"/>
        </w:rPr>
        <w:t xml:space="preserve"> </w:t>
      </w:r>
      <w:r w:rsidR="008346F6">
        <w:rPr>
          <w:rFonts w:ascii="Times New Roman" w:hAnsi="Times New Roman" w:cs="Times New Roman"/>
        </w:rPr>
        <w:t>(</w:t>
      </w:r>
      <w:r w:rsidR="008346F6">
        <w:rPr>
          <w:rFonts w:ascii="Times New Roman" w:hAnsi="Times New Roman" w:cs="Times New Roman" w:hint="eastAsia"/>
        </w:rPr>
        <w:t>v</w:t>
      </w:r>
      <w:r w:rsidR="008346F6">
        <w:rPr>
          <w:rFonts w:ascii="Times New Roman" w:hAnsi="Times New Roman" w:cs="Times New Roman"/>
        </w:rPr>
        <w:t>) Capital adequacy rat</w:t>
      </w:r>
      <w:r w:rsidR="009A1F5A">
        <w:rPr>
          <w:rFonts w:ascii="Times New Roman" w:hAnsi="Times New Roman" w:cs="Times New Roman"/>
        </w:rPr>
        <w:t>io</w:t>
      </w:r>
    </w:p>
    <w:p w14:paraId="5FC73F43" w14:textId="5F02459F" w:rsidR="00C60E7E" w:rsidRPr="008346F6" w:rsidRDefault="002D6BEC">
      <w:pPr>
        <w:spacing w:before="27" w:after="20"/>
        <w:ind w:right="548"/>
        <w:jc w:val="right"/>
        <w:rPr>
          <w:rFonts w:ascii="Times New Roman" w:hAnsi="Times New Roman" w:cs="Times New Roman"/>
          <w:sz w:val="21"/>
        </w:rPr>
      </w:pPr>
      <w:r w:rsidRPr="002D6BEC">
        <w:rPr>
          <w:rFonts w:ascii="Times New Roman" w:hAnsi="Times New Roman" w:cs="Times New Roman"/>
          <w:sz w:val="21"/>
        </w:rPr>
        <w:t>Unit: RMB million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587"/>
        <w:gridCol w:w="1590"/>
        <w:gridCol w:w="1566"/>
        <w:gridCol w:w="1565"/>
      </w:tblGrid>
      <w:tr w:rsidR="00C60E7E" w:rsidRPr="008346F6" w14:paraId="7CF090EB" w14:textId="77777777">
        <w:trPr>
          <w:trHeight w:val="397"/>
        </w:trPr>
        <w:tc>
          <w:tcPr>
            <w:tcW w:w="3078" w:type="dxa"/>
            <w:vMerge w:val="restart"/>
            <w:tcBorders>
              <w:left w:val="single" w:sz="6" w:space="0" w:color="000000"/>
            </w:tcBorders>
          </w:tcPr>
          <w:p w14:paraId="79D2DCD5" w14:textId="77777777" w:rsidR="00C60E7E" w:rsidRPr="008346F6" w:rsidRDefault="00C60E7E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1"/>
              </w:rPr>
            </w:pPr>
          </w:p>
          <w:p w14:paraId="296ED303" w14:textId="41FC4C5E" w:rsidR="00C60E7E" w:rsidRPr="008346F6" w:rsidRDefault="009A1F5A">
            <w:pPr>
              <w:pStyle w:val="TableParagraph"/>
              <w:spacing w:before="0"/>
              <w:ind w:left="1358" w:right="12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</w:t>
            </w:r>
            <w:r>
              <w:rPr>
                <w:rFonts w:ascii="Times New Roman" w:hAnsi="Times New Roman" w:cs="Times New Roman"/>
                <w:sz w:val="21"/>
              </w:rPr>
              <w:t>tem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77" w:type="dxa"/>
            <w:gridSpan w:val="2"/>
          </w:tcPr>
          <w:p w14:paraId="1BA1E8D8" w14:textId="66A6CF98" w:rsidR="00C60E7E" w:rsidRPr="008346F6" w:rsidRDefault="009A1F5A">
            <w:pPr>
              <w:pStyle w:val="TableParagraph"/>
              <w:spacing w:before="66"/>
              <w:ind w:left="750"/>
              <w:jc w:val="left"/>
              <w:rPr>
                <w:rFonts w:ascii="Times New Roman" w:hAnsi="Times New Roman" w:cs="Times New Roman"/>
                <w:sz w:val="21"/>
              </w:rPr>
            </w:pPr>
            <w:r w:rsidRPr="009A1F5A">
              <w:rPr>
                <w:rFonts w:ascii="Times New Roman" w:hAnsi="Times New Roman" w:cs="Times New Roman"/>
                <w:sz w:val="21"/>
              </w:rPr>
              <w:t>September 30, 2022</w:t>
            </w:r>
          </w:p>
        </w:tc>
        <w:tc>
          <w:tcPr>
            <w:tcW w:w="3131" w:type="dxa"/>
            <w:gridSpan w:val="2"/>
          </w:tcPr>
          <w:p w14:paraId="2D6E5646" w14:textId="7D024BC8" w:rsidR="00C60E7E" w:rsidRPr="008346F6" w:rsidRDefault="002D6BEC">
            <w:pPr>
              <w:pStyle w:val="TableParagraph"/>
              <w:spacing w:before="66"/>
              <w:ind w:left="672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z w:val="21"/>
              </w:rPr>
              <w:t>December 31, 2021</w:t>
            </w:r>
          </w:p>
        </w:tc>
      </w:tr>
      <w:tr w:rsidR="00C60E7E" w:rsidRPr="008346F6" w14:paraId="7EBF2306" w14:textId="77777777">
        <w:trPr>
          <w:trHeight w:val="396"/>
        </w:trPr>
        <w:tc>
          <w:tcPr>
            <w:tcW w:w="3078" w:type="dxa"/>
            <w:vMerge/>
            <w:tcBorders>
              <w:top w:val="nil"/>
              <w:left w:val="single" w:sz="6" w:space="0" w:color="000000"/>
            </w:tcBorders>
          </w:tcPr>
          <w:p w14:paraId="33F4913D" w14:textId="77777777" w:rsidR="00C60E7E" w:rsidRPr="008346F6" w:rsidRDefault="00C60E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7" w:type="dxa"/>
          </w:tcPr>
          <w:p w14:paraId="4874B364" w14:textId="4BA2FD04" w:rsidR="00C60E7E" w:rsidRPr="008346F6" w:rsidRDefault="002D6BEC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Com</w:t>
            </w:r>
            <w:r>
              <w:rPr>
                <w:rFonts w:ascii="Times New Roman" w:hAnsi="Times New Roman" w:cs="Times New Roman"/>
                <w:sz w:val="21"/>
              </w:rPr>
              <w:t>pany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90" w:type="dxa"/>
          </w:tcPr>
          <w:p w14:paraId="4012E230" w14:textId="07E7D92B" w:rsidR="00C60E7E" w:rsidRPr="008346F6" w:rsidRDefault="002D6BEC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B</w:t>
            </w:r>
            <w:r>
              <w:rPr>
                <w:rFonts w:ascii="Times New Roman" w:hAnsi="Times New Roman" w:cs="Times New Roman"/>
                <w:sz w:val="21"/>
              </w:rPr>
              <w:t>ank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</w:tcPr>
          <w:p w14:paraId="2F7C23A1" w14:textId="3D9A0593" w:rsidR="00C60E7E" w:rsidRPr="008346F6" w:rsidRDefault="002D6BEC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Company</w:t>
            </w:r>
          </w:p>
        </w:tc>
        <w:tc>
          <w:tcPr>
            <w:tcW w:w="1565" w:type="dxa"/>
          </w:tcPr>
          <w:p w14:paraId="486FA94F" w14:textId="1E33B9BD" w:rsidR="00C60E7E" w:rsidRPr="008346F6" w:rsidRDefault="002D6BEC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B</w:t>
            </w:r>
            <w:r>
              <w:rPr>
                <w:rFonts w:ascii="Times New Roman" w:hAnsi="Times New Roman" w:cs="Times New Roman"/>
                <w:sz w:val="21"/>
              </w:rPr>
              <w:t>ank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</w:tr>
      <w:tr w:rsidR="00C60E7E" w:rsidRPr="008346F6" w14:paraId="0E870D44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05AF8988" w14:textId="025F3898" w:rsidR="00C60E7E" w:rsidRPr="008346F6" w:rsidRDefault="002D6BEC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>Total capital</w:t>
            </w:r>
          </w:p>
        </w:tc>
        <w:tc>
          <w:tcPr>
            <w:tcW w:w="1587" w:type="dxa"/>
          </w:tcPr>
          <w:p w14:paraId="3A3BCCB2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958,009 </w:t>
            </w:r>
          </w:p>
        </w:tc>
        <w:tc>
          <w:tcPr>
            <w:tcW w:w="1590" w:type="dxa"/>
          </w:tcPr>
          <w:p w14:paraId="23289B89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914,961 </w:t>
            </w:r>
          </w:p>
        </w:tc>
        <w:tc>
          <w:tcPr>
            <w:tcW w:w="1566" w:type="dxa"/>
          </w:tcPr>
          <w:p w14:paraId="67E3AC8F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879,277 </w:t>
            </w:r>
          </w:p>
        </w:tc>
        <w:tc>
          <w:tcPr>
            <w:tcW w:w="1565" w:type="dxa"/>
          </w:tcPr>
          <w:p w14:paraId="245FE954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841,216 </w:t>
            </w:r>
          </w:p>
        </w:tc>
      </w:tr>
      <w:tr w:rsidR="00C60E7E" w:rsidRPr="008346F6" w14:paraId="0B304DBB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6E14A3B2" w14:textId="16EF3FFD" w:rsidR="00C60E7E" w:rsidRPr="008346F6" w:rsidRDefault="00000000">
            <w:pPr>
              <w:pStyle w:val="TableParagraph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1</w:t>
            </w:r>
            <w:r w:rsidRPr="008346F6">
              <w:rPr>
                <w:rFonts w:ascii="Times New Roman" w:hAnsi="Times New Roman" w:cs="Times New Roman"/>
                <w:sz w:val="21"/>
              </w:rPr>
              <w:t>．</w:t>
            </w:r>
            <w:r w:rsidR="009A1F5A" w:rsidRPr="009A1F5A">
              <w:rPr>
                <w:rFonts w:ascii="Times New Roman" w:hAnsi="Times New Roman" w:cs="Times New Roman"/>
                <w:sz w:val="21"/>
              </w:rPr>
              <w:t>Core tier 1 capital</w:t>
            </w:r>
          </w:p>
        </w:tc>
        <w:tc>
          <w:tcPr>
            <w:tcW w:w="1587" w:type="dxa"/>
          </w:tcPr>
          <w:p w14:paraId="28D8D422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647,042 </w:t>
            </w:r>
          </w:p>
        </w:tc>
        <w:tc>
          <w:tcPr>
            <w:tcW w:w="1590" w:type="dxa"/>
          </w:tcPr>
          <w:p w14:paraId="214EE88E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607,790 </w:t>
            </w:r>
          </w:p>
        </w:tc>
        <w:tc>
          <w:tcPr>
            <w:tcW w:w="1566" w:type="dxa"/>
          </w:tcPr>
          <w:p w14:paraId="6B3C5F02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599,661 </w:t>
            </w:r>
          </w:p>
        </w:tc>
        <w:tc>
          <w:tcPr>
            <w:tcW w:w="1565" w:type="dxa"/>
          </w:tcPr>
          <w:p w14:paraId="0615BE40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565,344 </w:t>
            </w:r>
          </w:p>
        </w:tc>
      </w:tr>
      <w:tr w:rsidR="00C60E7E" w:rsidRPr="008346F6" w14:paraId="7286043B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5722C66A" w14:textId="7F1B8147" w:rsidR="00C60E7E" w:rsidRPr="008346F6" w:rsidRDefault="00000000">
            <w:pPr>
              <w:pStyle w:val="TableParagraph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2</w:t>
            </w:r>
            <w:r w:rsidRPr="008346F6">
              <w:rPr>
                <w:rFonts w:ascii="Times New Roman" w:hAnsi="Times New Roman" w:cs="Times New Roman"/>
                <w:sz w:val="21"/>
              </w:rPr>
              <w:t>．</w:t>
            </w:r>
            <w:r w:rsidR="002D6BEC" w:rsidRPr="002D6BEC">
              <w:rPr>
                <w:rFonts w:ascii="Times New Roman" w:hAnsi="Times New Roman" w:cs="Times New Roman"/>
                <w:sz w:val="21"/>
              </w:rPr>
              <w:t xml:space="preserve">Other </w:t>
            </w:r>
            <w:r w:rsidR="002D6BEC">
              <w:rPr>
                <w:rFonts w:ascii="Times New Roman" w:hAnsi="Times New Roman" w:cs="Times New Roman"/>
                <w:sz w:val="21"/>
              </w:rPr>
              <w:t>t</w:t>
            </w:r>
            <w:r w:rsidR="002D6BEC" w:rsidRPr="002D6BEC">
              <w:rPr>
                <w:rFonts w:ascii="Times New Roman" w:hAnsi="Times New Roman" w:cs="Times New Roman"/>
                <w:sz w:val="21"/>
              </w:rPr>
              <w:t>ier 1 capital</w:t>
            </w:r>
          </w:p>
        </w:tc>
        <w:tc>
          <w:tcPr>
            <w:tcW w:w="1587" w:type="dxa"/>
          </w:tcPr>
          <w:p w14:paraId="6C22B549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86,026 </w:t>
            </w:r>
          </w:p>
        </w:tc>
        <w:tc>
          <w:tcPr>
            <w:tcW w:w="1590" w:type="dxa"/>
          </w:tcPr>
          <w:p w14:paraId="0A919720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85,802 </w:t>
            </w:r>
          </w:p>
        </w:tc>
        <w:tc>
          <w:tcPr>
            <w:tcW w:w="1566" w:type="dxa"/>
          </w:tcPr>
          <w:p w14:paraId="0E5F65CB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85,999 </w:t>
            </w:r>
          </w:p>
        </w:tc>
        <w:tc>
          <w:tcPr>
            <w:tcW w:w="1565" w:type="dxa"/>
          </w:tcPr>
          <w:p w14:paraId="7CD0D4F0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85,802 </w:t>
            </w:r>
          </w:p>
        </w:tc>
      </w:tr>
      <w:tr w:rsidR="00C60E7E" w:rsidRPr="008346F6" w14:paraId="0CB58184" w14:textId="77777777">
        <w:trPr>
          <w:trHeight w:val="397"/>
        </w:trPr>
        <w:tc>
          <w:tcPr>
            <w:tcW w:w="3078" w:type="dxa"/>
            <w:tcBorders>
              <w:left w:val="single" w:sz="6" w:space="0" w:color="000000"/>
            </w:tcBorders>
          </w:tcPr>
          <w:p w14:paraId="1A5D2DD1" w14:textId="50EDF5C4" w:rsidR="00C60E7E" w:rsidRPr="008346F6" w:rsidRDefault="00000000">
            <w:pPr>
              <w:pStyle w:val="TableParagraph"/>
              <w:spacing w:before="66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3</w:t>
            </w:r>
            <w:r w:rsidRPr="008346F6">
              <w:rPr>
                <w:rFonts w:ascii="Times New Roman" w:hAnsi="Times New Roman" w:cs="Times New Roman"/>
                <w:sz w:val="21"/>
              </w:rPr>
              <w:t>．</w:t>
            </w:r>
            <w:r w:rsidR="002D6BEC" w:rsidRPr="002D6BEC">
              <w:rPr>
                <w:rFonts w:ascii="Times New Roman" w:hAnsi="Times New Roman" w:cs="Times New Roman"/>
                <w:sz w:val="21"/>
              </w:rPr>
              <w:t>Tier 2 capital</w:t>
            </w:r>
          </w:p>
        </w:tc>
        <w:tc>
          <w:tcPr>
            <w:tcW w:w="1587" w:type="dxa"/>
          </w:tcPr>
          <w:p w14:paraId="03B37170" w14:textId="77777777" w:rsidR="00C60E7E" w:rsidRPr="008346F6" w:rsidRDefault="00000000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224,941 </w:t>
            </w:r>
          </w:p>
        </w:tc>
        <w:tc>
          <w:tcPr>
            <w:tcW w:w="1590" w:type="dxa"/>
          </w:tcPr>
          <w:p w14:paraId="1613863E" w14:textId="77777777" w:rsidR="00C60E7E" w:rsidRPr="008346F6" w:rsidRDefault="00000000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221,369 </w:t>
            </w:r>
          </w:p>
        </w:tc>
        <w:tc>
          <w:tcPr>
            <w:tcW w:w="1566" w:type="dxa"/>
          </w:tcPr>
          <w:p w14:paraId="0611C6FA" w14:textId="77777777" w:rsidR="00C60E7E" w:rsidRPr="008346F6" w:rsidRDefault="00000000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193,617 </w:t>
            </w:r>
          </w:p>
        </w:tc>
        <w:tc>
          <w:tcPr>
            <w:tcW w:w="1565" w:type="dxa"/>
          </w:tcPr>
          <w:p w14:paraId="730B1F1D" w14:textId="77777777" w:rsidR="00C60E7E" w:rsidRPr="008346F6" w:rsidRDefault="00000000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190,070 </w:t>
            </w:r>
          </w:p>
        </w:tc>
      </w:tr>
      <w:tr w:rsidR="00C60E7E" w:rsidRPr="008346F6" w14:paraId="02C3D2DA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2A3660AC" w14:textId="44CFA472" w:rsidR="00C60E7E" w:rsidRPr="008346F6" w:rsidRDefault="002D6BEC">
            <w:pPr>
              <w:pStyle w:val="TableParagraph"/>
              <w:spacing w:before="63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z w:val="21"/>
              </w:rPr>
              <w:t>Capital Deductions</w:t>
            </w:r>
          </w:p>
        </w:tc>
        <w:tc>
          <w:tcPr>
            <w:tcW w:w="1587" w:type="dxa"/>
          </w:tcPr>
          <w:p w14:paraId="03277769" w14:textId="77777777" w:rsidR="00C60E7E" w:rsidRPr="008346F6" w:rsidRDefault="00000000">
            <w:pPr>
              <w:pStyle w:val="TableParagraph"/>
              <w:spacing w:before="63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1,131 </w:t>
            </w:r>
          </w:p>
        </w:tc>
        <w:tc>
          <w:tcPr>
            <w:tcW w:w="1590" w:type="dxa"/>
          </w:tcPr>
          <w:p w14:paraId="1C1CB137" w14:textId="77777777" w:rsidR="00C60E7E" w:rsidRPr="008346F6" w:rsidRDefault="00000000">
            <w:pPr>
              <w:pStyle w:val="TableParagraph"/>
              <w:spacing w:before="63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21,083 </w:t>
            </w:r>
          </w:p>
        </w:tc>
        <w:tc>
          <w:tcPr>
            <w:tcW w:w="1566" w:type="dxa"/>
          </w:tcPr>
          <w:p w14:paraId="13C75C0F" w14:textId="77777777" w:rsidR="00C60E7E" w:rsidRPr="008346F6" w:rsidRDefault="00000000">
            <w:pPr>
              <w:pStyle w:val="TableParagraph"/>
              <w:spacing w:before="63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1,105 </w:t>
            </w:r>
          </w:p>
        </w:tc>
        <w:tc>
          <w:tcPr>
            <w:tcW w:w="1565" w:type="dxa"/>
          </w:tcPr>
          <w:p w14:paraId="62236418" w14:textId="77777777" w:rsidR="00C60E7E" w:rsidRPr="008346F6" w:rsidRDefault="00000000">
            <w:pPr>
              <w:pStyle w:val="TableParagraph"/>
              <w:spacing w:before="63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21,058 </w:t>
            </w:r>
          </w:p>
        </w:tc>
      </w:tr>
      <w:tr w:rsidR="00C60E7E" w:rsidRPr="008346F6" w14:paraId="6C5FE3DD" w14:textId="77777777">
        <w:trPr>
          <w:trHeight w:val="397"/>
        </w:trPr>
        <w:tc>
          <w:tcPr>
            <w:tcW w:w="3078" w:type="dxa"/>
            <w:tcBorders>
              <w:left w:val="single" w:sz="6" w:space="0" w:color="000000"/>
            </w:tcBorders>
          </w:tcPr>
          <w:p w14:paraId="2D7C986A" w14:textId="1DAD97DF" w:rsidR="00C60E7E" w:rsidRPr="008346F6" w:rsidRDefault="00000000">
            <w:pPr>
              <w:pStyle w:val="TableParagraph"/>
              <w:spacing w:before="73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1.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="002D6BEC">
              <w:rPr>
                <w:rFonts w:ascii="Times New Roman" w:hAnsi="Times New Roman" w:cs="Times New Roman"/>
                <w:spacing w:val="-1"/>
                <w:sz w:val="21"/>
              </w:rPr>
              <w:t>Deductions from co</w:t>
            </w:r>
            <w:r w:rsidR="002D6BEC"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re </w:t>
            </w:r>
            <w:r w:rsidR="002D6BEC">
              <w:rPr>
                <w:rFonts w:ascii="Times New Roman" w:hAnsi="Times New Roman" w:cs="Times New Roman"/>
                <w:spacing w:val="-1"/>
                <w:sz w:val="21"/>
              </w:rPr>
              <w:t>t</w:t>
            </w:r>
            <w:r w:rsidR="002D6BEC"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ier 1 capital 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1FEFDC39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1,131 </w:t>
            </w:r>
          </w:p>
        </w:tc>
        <w:tc>
          <w:tcPr>
            <w:tcW w:w="1590" w:type="dxa"/>
          </w:tcPr>
          <w:p w14:paraId="4FE04CA6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21,083 </w:t>
            </w:r>
          </w:p>
        </w:tc>
        <w:tc>
          <w:tcPr>
            <w:tcW w:w="1566" w:type="dxa"/>
          </w:tcPr>
          <w:p w14:paraId="6AE96341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1,105 </w:t>
            </w:r>
          </w:p>
        </w:tc>
        <w:tc>
          <w:tcPr>
            <w:tcW w:w="1565" w:type="dxa"/>
          </w:tcPr>
          <w:p w14:paraId="1691A47C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21,058 </w:t>
            </w:r>
          </w:p>
        </w:tc>
      </w:tr>
      <w:tr w:rsidR="00C60E7E" w:rsidRPr="008346F6" w14:paraId="1BEC0079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35B585AE" w14:textId="56963352" w:rsidR="00C60E7E" w:rsidRPr="008346F6" w:rsidRDefault="00000000">
            <w:pPr>
              <w:pStyle w:val="TableParagraph"/>
              <w:spacing w:before="70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2.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="002D6BEC">
              <w:rPr>
                <w:rFonts w:ascii="Times New Roman" w:hAnsi="Times New Roman" w:cs="Times New Roman"/>
                <w:spacing w:val="-1"/>
                <w:sz w:val="21"/>
              </w:rPr>
              <w:t>Deductions from other t</w:t>
            </w:r>
            <w:r w:rsidR="002D6BEC"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ier 1 capital </w:t>
            </w:r>
            <w:r w:rsidR="002D6BEC"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0FD6295F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90" w:type="dxa"/>
          </w:tcPr>
          <w:p w14:paraId="25FDEE17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66" w:type="dxa"/>
          </w:tcPr>
          <w:p w14:paraId="19A3B443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65" w:type="dxa"/>
          </w:tcPr>
          <w:p w14:paraId="384721E4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</w:tr>
      <w:tr w:rsidR="00C60E7E" w:rsidRPr="008346F6" w14:paraId="17C7FF59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47DAD0DD" w14:textId="5B3BB02C" w:rsidR="00C60E7E" w:rsidRPr="008346F6" w:rsidRDefault="00000000">
            <w:pPr>
              <w:pStyle w:val="TableParagraph"/>
              <w:spacing w:before="73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3.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="002D6BEC">
              <w:rPr>
                <w:rFonts w:ascii="Times New Roman" w:hAnsi="Times New Roman" w:cs="Times New Roman"/>
                <w:spacing w:val="-1"/>
                <w:sz w:val="21"/>
              </w:rPr>
              <w:t>Deductions from tier 2</w:t>
            </w:r>
            <w:r w:rsidR="002D6BEC"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 capital </w:t>
            </w:r>
            <w:r w:rsidR="002D6BEC"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308B7CE3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90" w:type="dxa"/>
          </w:tcPr>
          <w:p w14:paraId="7242D8B1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66" w:type="dxa"/>
          </w:tcPr>
          <w:p w14:paraId="09800267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65" w:type="dxa"/>
          </w:tcPr>
          <w:p w14:paraId="0EE8E5E3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</w:tr>
      <w:tr w:rsidR="00C60E7E" w:rsidRPr="008346F6" w14:paraId="3E0E05F7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6E9BB08D" w14:textId="022A952D" w:rsidR="00C60E7E" w:rsidRPr="008346F6" w:rsidRDefault="002D6BEC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>Net Capital</w:t>
            </w:r>
          </w:p>
        </w:tc>
        <w:tc>
          <w:tcPr>
            <w:tcW w:w="1587" w:type="dxa"/>
          </w:tcPr>
          <w:p w14:paraId="65D10C67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956,878 </w:t>
            </w:r>
          </w:p>
        </w:tc>
        <w:tc>
          <w:tcPr>
            <w:tcW w:w="1590" w:type="dxa"/>
          </w:tcPr>
          <w:p w14:paraId="1FD5BCF0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893,878 </w:t>
            </w:r>
          </w:p>
        </w:tc>
        <w:tc>
          <w:tcPr>
            <w:tcW w:w="1566" w:type="dxa"/>
          </w:tcPr>
          <w:p w14:paraId="65BDFDC8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878,172 </w:t>
            </w:r>
          </w:p>
        </w:tc>
        <w:tc>
          <w:tcPr>
            <w:tcW w:w="1565" w:type="dxa"/>
          </w:tcPr>
          <w:p w14:paraId="44BDBD25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820,158 </w:t>
            </w:r>
          </w:p>
        </w:tc>
      </w:tr>
      <w:tr w:rsidR="00C60E7E" w:rsidRPr="008346F6" w14:paraId="14359C23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3B07A02F" w14:textId="3B3633D0" w:rsidR="00C60E7E" w:rsidRPr="008346F6" w:rsidRDefault="002D6BEC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pacing w:val="-1"/>
                <w:sz w:val="21"/>
              </w:rPr>
              <w:t>Required</w:t>
            </w:r>
            <w:r w:rsidR="00E0480B">
              <w:rPr>
                <w:rFonts w:ascii="Times New Roman" w:hAnsi="Times New Roman" w:cs="Times New Roman"/>
                <w:spacing w:val="-1"/>
                <w:sz w:val="21"/>
              </w:rPr>
              <w:t xml:space="preserve"> Minimum</w:t>
            </w:r>
            <w:r>
              <w:rPr>
                <w:rFonts w:ascii="Times New Roman" w:hAnsi="Times New Roman" w:cs="Times New Roman" w:hint="eastAsia"/>
                <w:spacing w:val="-1"/>
                <w:sz w:val="21"/>
              </w:rPr>
              <w:t xml:space="preserve"> 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Capital </w:t>
            </w:r>
          </w:p>
        </w:tc>
        <w:tc>
          <w:tcPr>
            <w:tcW w:w="1587" w:type="dxa"/>
          </w:tcPr>
          <w:p w14:paraId="2E99018B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529,862 </w:t>
            </w:r>
          </w:p>
        </w:tc>
        <w:tc>
          <w:tcPr>
            <w:tcW w:w="1590" w:type="dxa"/>
          </w:tcPr>
          <w:p w14:paraId="3EDCFC80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506,992 </w:t>
            </w:r>
          </w:p>
        </w:tc>
        <w:tc>
          <w:tcPr>
            <w:tcW w:w="1566" w:type="dxa"/>
          </w:tcPr>
          <w:p w14:paraId="3ECF8D85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488,210 </w:t>
            </w:r>
          </w:p>
        </w:tc>
        <w:tc>
          <w:tcPr>
            <w:tcW w:w="1565" w:type="dxa"/>
          </w:tcPr>
          <w:p w14:paraId="3B750B0C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465,493 </w:t>
            </w:r>
          </w:p>
        </w:tc>
      </w:tr>
      <w:tr w:rsidR="00C60E7E" w:rsidRPr="008346F6" w14:paraId="7440316D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67B396D8" w14:textId="49D19617" w:rsidR="002D6BEC" w:rsidRPr="008346F6" w:rsidRDefault="002D6BEC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equired R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eserve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C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apital and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C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ountercyclical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C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apital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Buffer</w:t>
            </w:r>
          </w:p>
        </w:tc>
        <w:tc>
          <w:tcPr>
            <w:tcW w:w="1587" w:type="dxa"/>
          </w:tcPr>
          <w:p w14:paraId="6FAEDC25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165,582 </w:t>
            </w:r>
          </w:p>
        </w:tc>
        <w:tc>
          <w:tcPr>
            <w:tcW w:w="1590" w:type="dxa"/>
          </w:tcPr>
          <w:p w14:paraId="22406510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158,435 </w:t>
            </w:r>
          </w:p>
        </w:tc>
        <w:tc>
          <w:tcPr>
            <w:tcW w:w="1566" w:type="dxa"/>
          </w:tcPr>
          <w:p w14:paraId="1B71E6C3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152,565 </w:t>
            </w:r>
          </w:p>
        </w:tc>
        <w:tc>
          <w:tcPr>
            <w:tcW w:w="1565" w:type="dxa"/>
          </w:tcPr>
          <w:p w14:paraId="7BAE9968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145,467 </w:t>
            </w:r>
          </w:p>
        </w:tc>
      </w:tr>
      <w:tr w:rsidR="00C60E7E" w:rsidRPr="008346F6" w14:paraId="75EFA26A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5DB50C2C" w14:textId="4B281796" w:rsidR="00C60E7E" w:rsidRPr="008346F6" w:rsidRDefault="002D6BEC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Core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t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ier 1 Capital Adequacy Ratio 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>(%)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05A0CB48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9.75 </w:t>
            </w:r>
          </w:p>
        </w:tc>
        <w:tc>
          <w:tcPr>
            <w:tcW w:w="1590" w:type="dxa"/>
          </w:tcPr>
          <w:p w14:paraId="04A32DBA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9.26 </w:t>
            </w:r>
          </w:p>
        </w:tc>
        <w:tc>
          <w:tcPr>
            <w:tcW w:w="1566" w:type="dxa"/>
          </w:tcPr>
          <w:p w14:paraId="031DDE43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9.81 </w:t>
            </w:r>
          </w:p>
        </w:tc>
        <w:tc>
          <w:tcPr>
            <w:tcW w:w="1565" w:type="dxa"/>
          </w:tcPr>
          <w:p w14:paraId="2BE471D4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9.35 </w:t>
            </w:r>
          </w:p>
        </w:tc>
      </w:tr>
      <w:tr w:rsidR="00C60E7E" w:rsidRPr="008346F6" w14:paraId="7DB040D0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0536A988" w14:textId="5E74AF30" w:rsidR="00C60E7E" w:rsidRPr="008346F6" w:rsidRDefault="002D6BEC">
            <w:pPr>
              <w:pStyle w:val="TableParagraph"/>
              <w:spacing w:before="66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Tier 1 Capital Adequacy Ratio 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>(%)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1D1284F9" w14:textId="77777777" w:rsidR="00C60E7E" w:rsidRPr="008346F6" w:rsidRDefault="00000000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11.05 </w:t>
            </w:r>
          </w:p>
        </w:tc>
        <w:tc>
          <w:tcPr>
            <w:tcW w:w="1590" w:type="dxa"/>
          </w:tcPr>
          <w:p w14:paraId="6A8411A2" w14:textId="77777777" w:rsidR="00C60E7E" w:rsidRPr="008346F6" w:rsidRDefault="00000000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10.61 </w:t>
            </w:r>
          </w:p>
        </w:tc>
        <w:tc>
          <w:tcPr>
            <w:tcW w:w="1566" w:type="dxa"/>
          </w:tcPr>
          <w:p w14:paraId="67A55123" w14:textId="77777777" w:rsidR="00C60E7E" w:rsidRPr="008346F6" w:rsidRDefault="00000000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11.22 </w:t>
            </w:r>
          </w:p>
        </w:tc>
        <w:tc>
          <w:tcPr>
            <w:tcW w:w="1565" w:type="dxa"/>
          </w:tcPr>
          <w:p w14:paraId="4C268B06" w14:textId="77777777" w:rsidR="00C60E7E" w:rsidRPr="008346F6" w:rsidRDefault="00000000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10.83 </w:t>
            </w:r>
          </w:p>
        </w:tc>
      </w:tr>
      <w:tr w:rsidR="00C60E7E" w:rsidRPr="008346F6" w14:paraId="795C0232" w14:textId="77777777">
        <w:trPr>
          <w:trHeight w:val="397"/>
        </w:trPr>
        <w:tc>
          <w:tcPr>
            <w:tcW w:w="3078" w:type="dxa"/>
            <w:tcBorders>
              <w:left w:val="single" w:sz="6" w:space="0" w:color="000000"/>
            </w:tcBorders>
          </w:tcPr>
          <w:p w14:paraId="6DB37162" w14:textId="47057801" w:rsidR="00C60E7E" w:rsidRPr="008346F6" w:rsidRDefault="002D6BEC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lastRenderedPageBreak/>
              <w:t xml:space="preserve">Capital Adequacy Ratio 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>(%)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1811A654" w14:textId="77777777" w:rsidR="00C60E7E" w:rsidRPr="008346F6" w:rsidRDefault="00000000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11.45 </w:t>
            </w:r>
          </w:p>
        </w:tc>
        <w:tc>
          <w:tcPr>
            <w:tcW w:w="1590" w:type="dxa"/>
          </w:tcPr>
          <w:p w14:paraId="7826A361" w14:textId="77777777" w:rsidR="00C60E7E" w:rsidRPr="008346F6" w:rsidRDefault="00000000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14.10 </w:t>
            </w:r>
          </w:p>
        </w:tc>
        <w:tc>
          <w:tcPr>
            <w:tcW w:w="1566" w:type="dxa"/>
          </w:tcPr>
          <w:p w14:paraId="7D56A949" w14:textId="77777777" w:rsidR="00C60E7E" w:rsidRPr="008346F6" w:rsidRDefault="00000000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14.39 </w:t>
            </w:r>
          </w:p>
        </w:tc>
        <w:tc>
          <w:tcPr>
            <w:tcW w:w="1565" w:type="dxa"/>
          </w:tcPr>
          <w:p w14:paraId="00A948D7" w14:textId="77777777" w:rsidR="00C60E7E" w:rsidRPr="008346F6" w:rsidRDefault="00000000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14.10 </w:t>
            </w:r>
          </w:p>
        </w:tc>
      </w:tr>
    </w:tbl>
    <w:p w14:paraId="44C8FA3F" w14:textId="77777777" w:rsidR="00C60E7E" w:rsidRDefault="00C60E7E">
      <w:pPr>
        <w:jc w:val="right"/>
        <w:rPr>
          <w:rFonts w:ascii="Times New Roman" w:hAnsi="Times New Roman" w:cs="Times New Roman"/>
          <w:sz w:val="21"/>
        </w:rPr>
      </w:pPr>
    </w:p>
    <w:p w14:paraId="48A7028D" w14:textId="5FBC8FFE" w:rsidR="00C60E7E" w:rsidRPr="008346F6" w:rsidRDefault="002D6BEC" w:rsidP="00134B3D">
      <w:pPr>
        <w:jc w:val="right"/>
        <w:rPr>
          <w:rFonts w:ascii="Times New Roman" w:hAnsi="Times New Roman" w:cs="Times New Roman"/>
          <w:sz w:val="21"/>
        </w:rPr>
      </w:pPr>
      <w:r w:rsidRPr="002D6BEC">
        <w:rPr>
          <w:rFonts w:ascii="Times New Roman" w:hAnsi="Times New Roman" w:cs="Times New Roman"/>
          <w:sz w:val="21"/>
        </w:rPr>
        <w:t xml:space="preserve">Note: The data in the above table was prepared in accordance with the requirements of </w:t>
      </w:r>
      <w:r w:rsidRPr="00D513B5">
        <w:rPr>
          <w:rFonts w:ascii="Times New Roman" w:hAnsi="Times New Roman" w:cs="Times New Roman"/>
          <w:i/>
          <w:iCs/>
          <w:sz w:val="21"/>
        </w:rPr>
        <w:t xml:space="preserve">the Notice of the China </w:t>
      </w:r>
    </w:p>
    <w:p w14:paraId="2101C422" w14:textId="77777777" w:rsidR="00134B3D" w:rsidRDefault="00134B3D">
      <w:pPr>
        <w:pStyle w:val="a3"/>
        <w:spacing w:before="59"/>
        <w:ind w:left="1140"/>
        <w:rPr>
          <w:rFonts w:ascii="Times New Roman" w:hAnsi="Times New Roman" w:cs="Times New Roman"/>
        </w:rPr>
      </w:pPr>
    </w:p>
    <w:p w14:paraId="4A19C3E6" w14:textId="3F7385E5" w:rsidR="00C60E7E" w:rsidRPr="008346F6" w:rsidRDefault="002D6BEC" w:rsidP="00134B3D">
      <w:pPr>
        <w:pStyle w:val="a3"/>
        <w:spacing w:before="59"/>
        <w:ind w:firstLineChars="15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I. After Correction</w:t>
      </w:r>
      <w:r w:rsidR="00E9513E">
        <w:rPr>
          <w:rFonts w:ascii="Times New Roman" w:hAnsi="Times New Roman" w:cs="Times New Roman"/>
        </w:rPr>
        <w:t>:</w:t>
      </w:r>
    </w:p>
    <w:p w14:paraId="0EC7CB19" w14:textId="5BCE21D8" w:rsidR="00D513B5" w:rsidRPr="008346F6" w:rsidRDefault="00D513B5" w:rsidP="00D513B5">
      <w:pPr>
        <w:pStyle w:val="a3"/>
        <w:wordWrap w:val="0"/>
        <w:spacing w:before="82"/>
        <w:ind w:right="69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>) Capital adequacy ratio</w:t>
      </w:r>
    </w:p>
    <w:p w14:paraId="5AC07508" w14:textId="77777777" w:rsidR="00D513B5" w:rsidRPr="008346F6" w:rsidRDefault="00D513B5" w:rsidP="00D513B5">
      <w:pPr>
        <w:spacing w:before="27" w:after="20"/>
        <w:ind w:right="548"/>
        <w:jc w:val="right"/>
        <w:rPr>
          <w:rFonts w:ascii="Times New Roman" w:hAnsi="Times New Roman" w:cs="Times New Roman"/>
          <w:sz w:val="21"/>
        </w:rPr>
      </w:pPr>
      <w:r w:rsidRPr="002D6BEC">
        <w:rPr>
          <w:rFonts w:ascii="Times New Roman" w:hAnsi="Times New Roman" w:cs="Times New Roman"/>
          <w:sz w:val="21"/>
        </w:rPr>
        <w:t>Unit: RMB million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587"/>
        <w:gridCol w:w="1590"/>
        <w:gridCol w:w="1566"/>
        <w:gridCol w:w="1565"/>
      </w:tblGrid>
      <w:tr w:rsidR="00D513B5" w:rsidRPr="008346F6" w14:paraId="030BB692" w14:textId="77777777">
        <w:trPr>
          <w:trHeight w:val="395"/>
        </w:trPr>
        <w:tc>
          <w:tcPr>
            <w:tcW w:w="3078" w:type="dxa"/>
            <w:vMerge w:val="restart"/>
            <w:tcBorders>
              <w:left w:val="single" w:sz="6" w:space="0" w:color="000000"/>
            </w:tcBorders>
          </w:tcPr>
          <w:p w14:paraId="38A90E16" w14:textId="77777777" w:rsidR="00D513B5" w:rsidRPr="008346F6" w:rsidRDefault="00D513B5" w:rsidP="00D513B5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1"/>
              </w:rPr>
            </w:pPr>
          </w:p>
          <w:p w14:paraId="419123D2" w14:textId="488E3C6E" w:rsidR="00D513B5" w:rsidRPr="008346F6" w:rsidRDefault="00D513B5" w:rsidP="00D513B5">
            <w:pPr>
              <w:pStyle w:val="TableParagraph"/>
              <w:spacing w:before="0"/>
              <w:ind w:left="1358" w:right="12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I</w:t>
            </w:r>
            <w:r>
              <w:rPr>
                <w:rFonts w:ascii="Times New Roman" w:hAnsi="Times New Roman" w:cs="Times New Roman"/>
                <w:sz w:val="21"/>
              </w:rPr>
              <w:t>tem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77" w:type="dxa"/>
            <w:gridSpan w:val="2"/>
          </w:tcPr>
          <w:p w14:paraId="7818144A" w14:textId="0ECC173E" w:rsidR="00D513B5" w:rsidRPr="008346F6" w:rsidRDefault="00D513B5" w:rsidP="00D513B5">
            <w:pPr>
              <w:pStyle w:val="TableParagraph"/>
              <w:spacing w:before="66"/>
              <w:ind w:left="750"/>
              <w:jc w:val="left"/>
              <w:rPr>
                <w:rFonts w:ascii="Times New Roman" w:hAnsi="Times New Roman" w:cs="Times New Roman"/>
                <w:sz w:val="21"/>
              </w:rPr>
            </w:pPr>
            <w:r w:rsidRPr="009A1F5A">
              <w:rPr>
                <w:rFonts w:ascii="Times New Roman" w:hAnsi="Times New Roman" w:cs="Times New Roman"/>
                <w:sz w:val="21"/>
              </w:rPr>
              <w:t>September 30, 2022</w:t>
            </w:r>
          </w:p>
        </w:tc>
        <w:tc>
          <w:tcPr>
            <w:tcW w:w="3131" w:type="dxa"/>
            <w:gridSpan w:val="2"/>
          </w:tcPr>
          <w:p w14:paraId="4ECF5564" w14:textId="28AC958C" w:rsidR="00D513B5" w:rsidRPr="008346F6" w:rsidRDefault="00D513B5" w:rsidP="00D513B5">
            <w:pPr>
              <w:pStyle w:val="TableParagraph"/>
              <w:spacing w:before="66"/>
              <w:ind w:left="672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z w:val="21"/>
              </w:rPr>
              <w:t>December 31, 2021</w:t>
            </w:r>
          </w:p>
        </w:tc>
      </w:tr>
      <w:tr w:rsidR="00D513B5" w:rsidRPr="008346F6" w14:paraId="74495238" w14:textId="77777777">
        <w:trPr>
          <w:trHeight w:val="397"/>
        </w:trPr>
        <w:tc>
          <w:tcPr>
            <w:tcW w:w="3078" w:type="dxa"/>
            <w:vMerge/>
            <w:tcBorders>
              <w:top w:val="nil"/>
              <w:left w:val="single" w:sz="6" w:space="0" w:color="000000"/>
            </w:tcBorders>
          </w:tcPr>
          <w:p w14:paraId="7367BF53" w14:textId="77777777" w:rsidR="00D513B5" w:rsidRPr="008346F6" w:rsidRDefault="00D513B5" w:rsidP="00D513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7" w:type="dxa"/>
          </w:tcPr>
          <w:p w14:paraId="6E23CD83" w14:textId="7CA2F147" w:rsidR="00D513B5" w:rsidRPr="008346F6" w:rsidRDefault="00D513B5" w:rsidP="00D513B5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Com</w:t>
            </w:r>
            <w:r>
              <w:rPr>
                <w:rFonts w:ascii="Times New Roman" w:hAnsi="Times New Roman" w:cs="Times New Roman"/>
                <w:sz w:val="21"/>
              </w:rPr>
              <w:t>pany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90" w:type="dxa"/>
          </w:tcPr>
          <w:p w14:paraId="6E8FFCD1" w14:textId="6CF12BB5" w:rsidR="00D513B5" w:rsidRPr="008346F6" w:rsidRDefault="00D513B5" w:rsidP="00D513B5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B</w:t>
            </w:r>
            <w:r>
              <w:rPr>
                <w:rFonts w:ascii="Times New Roman" w:hAnsi="Times New Roman" w:cs="Times New Roman"/>
                <w:sz w:val="21"/>
              </w:rPr>
              <w:t>ank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</w:tcPr>
          <w:p w14:paraId="24E2E33A" w14:textId="73A28C3A" w:rsidR="00D513B5" w:rsidRPr="008346F6" w:rsidRDefault="00D513B5" w:rsidP="00D513B5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C</w:t>
            </w:r>
            <w:r>
              <w:rPr>
                <w:rFonts w:ascii="Times New Roman" w:hAnsi="Times New Roman" w:cs="Times New Roman"/>
                <w:sz w:val="21"/>
              </w:rPr>
              <w:t>ompany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5" w:type="dxa"/>
          </w:tcPr>
          <w:p w14:paraId="2F33E0F1" w14:textId="500DDC3C" w:rsidR="00D513B5" w:rsidRPr="008346F6" w:rsidRDefault="00D513B5" w:rsidP="00D513B5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Bank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</w:tr>
      <w:tr w:rsidR="00D513B5" w:rsidRPr="008346F6" w14:paraId="0EFADDBA" w14:textId="77777777">
        <w:trPr>
          <w:trHeight w:val="397"/>
        </w:trPr>
        <w:tc>
          <w:tcPr>
            <w:tcW w:w="3078" w:type="dxa"/>
            <w:tcBorders>
              <w:left w:val="single" w:sz="6" w:space="0" w:color="000000"/>
            </w:tcBorders>
          </w:tcPr>
          <w:p w14:paraId="3BE411ED" w14:textId="41A44A42" w:rsidR="00D513B5" w:rsidRPr="008346F6" w:rsidRDefault="00D513B5" w:rsidP="00D513B5">
            <w:pPr>
              <w:pStyle w:val="TableParagraph"/>
              <w:spacing w:before="66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>Total capital</w:t>
            </w:r>
          </w:p>
        </w:tc>
        <w:tc>
          <w:tcPr>
            <w:tcW w:w="1587" w:type="dxa"/>
          </w:tcPr>
          <w:p w14:paraId="37907402" w14:textId="77777777" w:rsidR="00D513B5" w:rsidRPr="008346F6" w:rsidRDefault="00D513B5" w:rsidP="00D513B5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958,009 </w:t>
            </w:r>
          </w:p>
        </w:tc>
        <w:tc>
          <w:tcPr>
            <w:tcW w:w="1590" w:type="dxa"/>
          </w:tcPr>
          <w:p w14:paraId="3BBF526F" w14:textId="77777777" w:rsidR="00D513B5" w:rsidRPr="008346F6" w:rsidRDefault="00D513B5" w:rsidP="00D513B5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914,961 </w:t>
            </w:r>
          </w:p>
        </w:tc>
        <w:tc>
          <w:tcPr>
            <w:tcW w:w="1566" w:type="dxa"/>
          </w:tcPr>
          <w:p w14:paraId="35CA40C5" w14:textId="77777777" w:rsidR="00D513B5" w:rsidRPr="008346F6" w:rsidRDefault="00D513B5" w:rsidP="00D513B5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879,277 </w:t>
            </w:r>
          </w:p>
        </w:tc>
        <w:tc>
          <w:tcPr>
            <w:tcW w:w="1565" w:type="dxa"/>
          </w:tcPr>
          <w:p w14:paraId="2B23943E" w14:textId="77777777" w:rsidR="00D513B5" w:rsidRPr="008346F6" w:rsidRDefault="00D513B5" w:rsidP="00D513B5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841,216 </w:t>
            </w:r>
          </w:p>
        </w:tc>
      </w:tr>
      <w:tr w:rsidR="00D513B5" w:rsidRPr="008346F6" w14:paraId="0DEDB366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4918DBD2" w14:textId="5D4524C9" w:rsidR="00D513B5" w:rsidRPr="008346F6" w:rsidRDefault="00D513B5" w:rsidP="00D513B5">
            <w:pPr>
              <w:pStyle w:val="TableParagraph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1</w:t>
            </w:r>
            <w:r w:rsidRPr="008346F6">
              <w:rPr>
                <w:rFonts w:ascii="Times New Roman" w:hAnsi="Times New Roman" w:cs="Times New Roman"/>
                <w:sz w:val="21"/>
              </w:rPr>
              <w:t>．</w:t>
            </w:r>
            <w:r w:rsidRPr="009A1F5A">
              <w:rPr>
                <w:rFonts w:ascii="Times New Roman" w:hAnsi="Times New Roman" w:cs="Times New Roman"/>
                <w:sz w:val="21"/>
              </w:rPr>
              <w:t>Core tier 1 capital</w:t>
            </w:r>
          </w:p>
        </w:tc>
        <w:tc>
          <w:tcPr>
            <w:tcW w:w="1587" w:type="dxa"/>
          </w:tcPr>
          <w:p w14:paraId="59B5EA6B" w14:textId="77777777" w:rsidR="00D513B5" w:rsidRPr="008346F6" w:rsidRDefault="00D513B5" w:rsidP="00D513B5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647,042 </w:t>
            </w:r>
          </w:p>
        </w:tc>
        <w:tc>
          <w:tcPr>
            <w:tcW w:w="1590" w:type="dxa"/>
          </w:tcPr>
          <w:p w14:paraId="32EEF0A0" w14:textId="77777777" w:rsidR="00D513B5" w:rsidRPr="008346F6" w:rsidRDefault="00D513B5" w:rsidP="00D513B5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607,790 </w:t>
            </w:r>
          </w:p>
        </w:tc>
        <w:tc>
          <w:tcPr>
            <w:tcW w:w="1566" w:type="dxa"/>
          </w:tcPr>
          <w:p w14:paraId="1391F73B" w14:textId="77777777" w:rsidR="00D513B5" w:rsidRPr="008346F6" w:rsidRDefault="00D513B5" w:rsidP="00D513B5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599,661 </w:t>
            </w:r>
          </w:p>
        </w:tc>
        <w:tc>
          <w:tcPr>
            <w:tcW w:w="1565" w:type="dxa"/>
          </w:tcPr>
          <w:p w14:paraId="61C64263" w14:textId="77777777" w:rsidR="00D513B5" w:rsidRPr="008346F6" w:rsidRDefault="00D513B5" w:rsidP="00D513B5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565,344 </w:t>
            </w:r>
          </w:p>
        </w:tc>
      </w:tr>
      <w:tr w:rsidR="00D513B5" w:rsidRPr="008346F6" w14:paraId="0FB26157" w14:textId="77777777">
        <w:trPr>
          <w:trHeight w:val="397"/>
        </w:trPr>
        <w:tc>
          <w:tcPr>
            <w:tcW w:w="3078" w:type="dxa"/>
            <w:tcBorders>
              <w:left w:val="single" w:sz="6" w:space="0" w:color="000000"/>
            </w:tcBorders>
          </w:tcPr>
          <w:p w14:paraId="730804F4" w14:textId="00400586" w:rsidR="00D513B5" w:rsidRPr="008346F6" w:rsidRDefault="00D513B5" w:rsidP="00D513B5">
            <w:pPr>
              <w:pStyle w:val="TableParagraph"/>
              <w:spacing w:before="66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2</w:t>
            </w:r>
            <w:r w:rsidRPr="008346F6">
              <w:rPr>
                <w:rFonts w:ascii="Times New Roman" w:hAnsi="Times New Roman" w:cs="Times New Roman"/>
                <w:sz w:val="21"/>
              </w:rPr>
              <w:t>．</w:t>
            </w:r>
            <w:r w:rsidRPr="002D6BEC">
              <w:rPr>
                <w:rFonts w:ascii="Times New Roman" w:hAnsi="Times New Roman" w:cs="Times New Roman"/>
                <w:sz w:val="21"/>
              </w:rPr>
              <w:t xml:space="preserve">Other </w:t>
            </w:r>
            <w:r>
              <w:rPr>
                <w:rFonts w:ascii="Times New Roman" w:hAnsi="Times New Roman" w:cs="Times New Roman"/>
                <w:sz w:val="21"/>
              </w:rPr>
              <w:t>t</w:t>
            </w:r>
            <w:r w:rsidRPr="002D6BEC">
              <w:rPr>
                <w:rFonts w:ascii="Times New Roman" w:hAnsi="Times New Roman" w:cs="Times New Roman"/>
                <w:sz w:val="21"/>
              </w:rPr>
              <w:t>ier 1 capital</w:t>
            </w:r>
          </w:p>
        </w:tc>
        <w:tc>
          <w:tcPr>
            <w:tcW w:w="1587" w:type="dxa"/>
          </w:tcPr>
          <w:p w14:paraId="15B2E7A0" w14:textId="77777777" w:rsidR="00D513B5" w:rsidRPr="008346F6" w:rsidRDefault="00D513B5" w:rsidP="00D513B5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86,026 </w:t>
            </w:r>
          </w:p>
        </w:tc>
        <w:tc>
          <w:tcPr>
            <w:tcW w:w="1590" w:type="dxa"/>
          </w:tcPr>
          <w:p w14:paraId="0B6C96A8" w14:textId="77777777" w:rsidR="00D513B5" w:rsidRPr="008346F6" w:rsidRDefault="00D513B5" w:rsidP="00D513B5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85,802 </w:t>
            </w:r>
          </w:p>
        </w:tc>
        <w:tc>
          <w:tcPr>
            <w:tcW w:w="1566" w:type="dxa"/>
          </w:tcPr>
          <w:p w14:paraId="5FDC60FA" w14:textId="77777777" w:rsidR="00D513B5" w:rsidRPr="008346F6" w:rsidRDefault="00D513B5" w:rsidP="00D513B5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85,999 </w:t>
            </w:r>
          </w:p>
        </w:tc>
        <w:tc>
          <w:tcPr>
            <w:tcW w:w="1565" w:type="dxa"/>
          </w:tcPr>
          <w:p w14:paraId="24814EA2" w14:textId="77777777" w:rsidR="00D513B5" w:rsidRPr="008346F6" w:rsidRDefault="00D513B5" w:rsidP="00D513B5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85,802 </w:t>
            </w:r>
          </w:p>
        </w:tc>
      </w:tr>
      <w:tr w:rsidR="00D513B5" w:rsidRPr="008346F6" w14:paraId="648B8382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494CFAD5" w14:textId="06A00E30" w:rsidR="00D513B5" w:rsidRPr="008346F6" w:rsidRDefault="00D513B5" w:rsidP="00D513B5">
            <w:pPr>
              <w:pStyle w:val="TableParagraph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3</w:t>
            </w:r>
            <w:r w:rsidRPr="008346F6">
              <w:rPr>
                <w:rFonts w:ascii="Times New Roman" w:hAnsi="Times New Roman" w:cs="Times New Roman"/>
                <w:sz w:val="21"/>
              </w:rPr>
              <w:t>．</w:t>
            </w:r>
            <w:r w:rsidRPr="002D6BEC">
              <w:rPr>
                <w:rFonts w:ascii="Times New Roman" w:hAnsi="Times New Roman" w:cs="Times New Roman"/>
                <w:sz w:val="21"/>
              </w:rPr>
              <w:t>Tier 2 capital</w:t>
            </w:r>
          </w:p>
        </w:tc>
        <w:tc>
          <w:tcPr>
            <w:tcW w:w="1587" w:type="dxa"/>
          </w:tcPr>
          <w:p w14:paraId="293F8802" w14:textId="77777777" w:rsidR="00D513B5" w:rsidRPr="008346F6" w:rsidRDefault="00D513B5" w:rsidP="00D513B5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224,941 </w:t>
            </w:r>
          </w:p>
        </w:tc>
        <w:tc>
          <w:tcPr>
            <w:tcW w:w="1590" w:type="dxa"/>
          </w:tcPr>
          <w:p w14:paraId="05518B46" w14:textId="77777777" w:rsidR="00D513B5" w:rsidRPr="008346F6" w:rsidRDefault="00D513B5" w:rsidP="00D513B5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221,369 </w:t>
            </w:r>
          </w:p>
        </w:tc>
        <w:tc>
          <w:tcPr>
            <w:tcW w:w="1566" w:type="dxa"/>
          </w:tcPr>
          <w:p w14:paraId="2458A80A" w14:textId="77777777" w:rsidR="00D513B5" w:rsidRPr="008346F6" w:rsidRDefault="00D513B5" w:rsidP="00D513B5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193,617 </w:t>
            </w:r>
          </w:p>
        </w:tc>
        <w:tc>
          <w:tcPr>
            <w:tcW w:w="1565" w:type="dxa"/>
          </w:tcPr>
          <w:p w14:paraId="78335687" w14:textId="77777777" w:rsidR="00D513B5" w:rsidRPr="008346F6" w:rsidRDefault="00D513B5" w:rsidP="00D513B5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190,070 </w:t>
            </w:r>
          </w:p>
        </w:tc>
      </w:tr>
      <w:tr w:rsidR="00D513B5" w:rsidRPr="008346F6" w14:paraId="4E114E73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574105D7" w14:textId="36A724A5" w:rsidR="00D513B5" w:rsidRPr="008346F6" w:rsidRDefault="00D513B5" w:rsidP="00D513B5">
            <w:pPr>
              <w:pStyle w:val="TableParagraph"/>
              <w:spacing w:before="66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z w:val="21"/>
              </w:rPr>
              <w:t>Capital Deductions</w:t>
            </w:r>
          </w:p>
        </w:tc>
        <w:tc>
          <w:tcPr>
            <w:tcW w:w="1587" w:type="dxa"/>
          </w:tcPr>
          <w:p w14:paraId="7489ED5B" w14:textId="77777777" w:rsidR="00D513B5" w:rsidRPr="008346F6" w:rsidRDefault="00D513B5" w:rsidP="00D513B5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1,131 </w:t>
            </w:r>
          </w:p>
        </w:tc>
        <w:tc>
          <w:tcPr>
            <w:tcW w:w="1590" w:type="dxa"/>
          </w:tcPr>
          <w:p w14:paraId="6A63BD9B" w14:textId="77777777" w:rsidR="00D513B5" w:rsidRPr="008346F6" w:rsidRDefault="00D513B5" w:rsidP="00D513B5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21,083 </w:t>
            </w:r>
          </w:p>
        </w:tc>
        <w:tc>
          <w:tcPr>
            <w:tcW w:w="1566" w:type="dxa"/>
          </w:tcPr>
          <w:p w14:paraId="0F6DE5C3" w14:textId="77777777" w:rsidR="00D513B5" w:rsidRPr="008346F6" w:rsidRDefault="00D513B5" w:rsidP="00D513B5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1,105 </w:t>
            </w:r>
          </w:p>
        </w:tc>
        <w:tc>
          <w:tcPr>
            <w:tcW w:w="1565" w:type="dxa"/>
          </w:tcPr>
          <w:p w14:paraId="06142663" w14:textId="77777777" w:rsidR="00D513B5" w:rsidRPr="008346F6" w:rsidRDefault="00D513B5" w:rsidP="00D513B5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21,058 </w:t>
            </w:r>
          </w:p>
        </w:tc>
      </w:tr>
      <w:tr w:rsidR="00D513B5" w:rsidRPr="008346F6" w14:paraId="2A8B4FE6" w14:textId="77777777">
        <w:trPr>
          <w:trHeight w:val="397"/>
        </w:trPr>
        <w:tc>
          <w:tcPr>
            <w:tcW w:w="3078" w:type="dxa"/>
            <w:tcBorders>
              <w:left w:val="single" w:sz="6" w:space="0" w:color="000000"/>
            </w:tcBorders>
          </w:tcPr>
          <w:p w14:paraId="08FB6B3F" w14:textId="3489CB51" w:rsidR="00D513B5" w:rsidRPr="008346F6" w:rsidRDefault="00D513B5" w:rsidP="00D513B5">
            <w:pPr>
              <w:pStyle w:val="TableParagraph"/>
              <w:spacing w:before="73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1.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Deductions from co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re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t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ier 1 capital 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304DFEB8" w14:textId="77777777" w:rsidR="00D513B5" w:rsidRPr="008346F6" w:rsidRDefault="00D513B5" w:rsidP="00D513B5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1,131 </w:t>
            </w:r>
          </w:p>
        </w:tc>
        <w:tc>
          <w:tcPr>
            <w:tcW w:w="1590" w:type="dxa"/>
          </w:tcPr>
          <w:p w14:paraId="3B31A07A" w14:textId="77777777" w:rsidR="00D513B5" w:rsidRPr="008346F6" w:rsidRDefault="00D513B5" w:rsidP="00D513B5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21,083 </w:t>
            </w:r>
          </w:p>
        </w:tc>
        <w:tc>
          <w:tcPr>
            <w:tcW w:w="1566" w:type="dxa"/>
          </w:tcPr>
          <w:p w14:paraId="79E634AB" w14:textId="77777777" w:rsidR="00D513B5" w:rsidRPr="008346F6" w:rsidRDefault="00D513B5" w:rsidP="00D513B5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1,105 </w:t>
            </w:r>
          </w:p>
        </w:tc>
        <w:tc>
          <w:tcPr>
            <w:tcW w:w="1565" w:type="dxa"/>
          </w:tcPr>
          <w:p w14:paraId="0F7F87D9" w14:textId="77777777" w:rsidR="00D513B5" w:rsidRPr="008346F6" w:rsidRDefault="00D513B5" w:rsidP="00D513B5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21,058 </w:t>
            </w:r>
          </w:p>
        </w:tc>
      </w:tr>
      <w:tr w:rsidR="00D513B5" w:rsidRPr="008346F6" w14:paraId="2BC5E4E9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3D84E9A5" w14:textId="1478800A" w:rsidR="00D513B5" w:rsidRPr="008346F6" w:rsidRDefault="00D513B5" w:rsidP="00D513B5">
            <w:pPr>
              <w:pStyle w:val="TableParagraph"/>
              <w:spacing w:before="70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2.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Deductions from other t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ier 1 capital 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2F043689" w14:textId="77777777" w:rsidR="00D513B5" w:rsidRPr="008346F6" w:rsidRDefault="00D513B5" w:rsidP="00D513B5">
            <w:pPr>
              <w:pStyle w:val="TableParagraph"/>
              <w:spacing w:before="63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90" w:type="dxa"/>
          </w:tcPr>
          <w:p w14:paraId="4FACE635" w14:textId="77777777" w:rsidR="00D513B5" w:rsidRPr="008346F6" w:rsidRDefault="00D513B5" w:rsidP="00D513B5">
            <w:pPr>
              <w:pStyle w:val="TableParagraph"/>
              <w:spacing w:before="63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66" w:type="dxa"/>
          </w:tcPr>
          <w:p w14:paraId="37086130" w14:textId="77777777" w:rsidR="00D513B5" w:rsidRPr="008346F6" w:rsidRDefault="00D513B5" w:rsidP="00D513B5">
            <w:pPr>
              <w:pStyle w:val="TableParagraph"/>
              <w:spacing w:before="63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65" w:type="dxa"/>
          </w:tcPr>
          <w:p w14:paraId="5785316C" w14:textId="77777777" w:rsidR="00D513B5" w:rsidRPr="008346F6" w:rsidRDefault="00D513B5" w:rsidP="00D513B5">
            <w:pPr>
              <w:pStyle w:val="TableParagraph"/>
              <w:spacing w:before="63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</w:tr>
      <w:tr w:rsidR="00D513B5" w:rsidRPr="008346F6" w14:paraId="3DFFFEAF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61EB8EF7" w14:textId="1546BB12" w:rsidR="00D513B5" w:rsidRPr="008346F6" w:rsidRDefault="00D513B5" w:rsidP="00D513B5">
            <w:pPr>
              <w:pStyle w:val="TableParagraph"/>
              <w:spacing w:before="73"/>
              <w:ind w:left="316"/>
              <w:jc w:val="left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>3.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Deductions from tier 2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 capital 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24D88F25" w14:textId="77777777" w:rsidR="00D513B5" w:rsidRPr="008346F6" w:rsidRDefault="00D513B5" w:rsidP="00D513B5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90" w:type="dxa"/>
          </w:tcPr>
          <w:p w14:paraId="22F84A1F" w14:textId="77777777" w:rsidR="00D513B5" w:rsidRPr="008346F6" w:rsidRDefault="00D513B5" w:rsidP="00D513B5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66" w:type="dxa"/>
          </w:tcPr>
          <w:p w14:paraId="2A404C46" w14:textId="77777777" w:rsidR="00D513B5" w:rsidRPr="008346F6" w:rsidRDefault="00D513B5" w:rsidP="00D513B5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1565" w:type="dxa"/>
          </w:tcPr>
          <w:p w14:paraId="7FBAD811" w14:textId="77777777" w:rsidR="00D513B5" w:rsidRPr="008346F6" w:rsidRDefault="00D513B5" w:rsidP="00D513B5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- </w:t>
            </w:r>
          </w:p>
        </w:tc>
      </w:tr>
      <w:tr w:rsidR="00D513B5" w:rsidRPr="008346F6" w14:paraId="7C4AE6C6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20DA58D1" w14:textId="29B4D3E3" w:rsidR="00D513B5" w:rsidRPr="008346F6" w:rsidRDefault="00D513B5" w:rsidP="00D513B5">
            <w:pPr>
              <w:pStyle w:val="TableParagraph"/>
              <w:spacing w:before="66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>Net Capital</w:t>
            </w:r>
          </w:p>
        </w:tc>
        <w:tc>
          <w:tcPr>
            <w:tcW w:w="1587" w:type="dxa"/>
          </w:tcPr>
          <w:p w14:paraId="738E0A36" w14:textId="77777777" w:rsidR="00D513B5" w:rsidRPr="008346F6" w:rsidRDefault="00D513B5" w:rsidP="00D513B5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956,878 </w:t>
            </w:r>
          </w:p>
        </w:tc>
        <w:tc>
          <w:tcPr>
            <w:tcW w:w="1590" w:type="dxa"/>
          </w:tcPr>
          <w:p w14:paraId="2B2AB3FA" w14:textId="77777777" w:rsidR="00D513B5" w:rsidRPr="008346F6" w:rsidRDefault="00D513B5" w:rsidP="00D513B5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893,878 </w:t>
            </w:r>
          </w:p>
        </w:tc>
        <w:tc>
          <w:tcPr>
            <w:tcW w:w="1566" w:type="dxa"/>
          </w:tcPr>
          <w:p w14:paraId="20474920" w14:textId="77777777" w:rsidR="00D513B5" w:rsidRPr="008346F6" w:rsidRDefault="00D513B5" w:rsidP="00D513B5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878,172 </w:t>
            </w:r>
          </w:p>
        </w:tc>
        <w:tc>
          <w:tcPr>
            <w:tcW w:w="1565" w:type="dxa"/>
          </w:tcPr>
          <w:p w14:paraId="69CD1927" w14:textId="77777777" w:rsidR="00D513B5" w:rsidRPr="008346F6" w:rsidRDefault="00D513B5" w:rsidP="00D513B5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820,158 </w:t>
            </w:r>
          </w:p>
        </w:tc>
      </w:tr>
      <w:tr w:rsidR="00D513B5" w:rsidRPr="008346F6" w14:paraId="747C07AA" w14:textId="77777777">
        <w:trPr>
          <w:trHeight w:val="397"/>
        </w:trPr>
        <w:tc>
          <w:tcPr>
            <w:tcW w:w="3078" w:type="dxa"/>
            <w:tcBorders>
              <w:left w:val="single" w:sz="6" w:space="0" w:color="000000"/>
            </w:tcBorders>
          </w:tcPr>
          <w:p w14:paraId="60843290" w14:textId="78830546" w:rsidR="00D513B5" w:rsidRPr="008346F6" w:rsidRDefault="00D513B5" w:rsidP="00D513B5">
            <w:pPr>
              <w:pStyle w:val="TableParagraph"/>
              <w:spacing w:before="66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pacing w:val="-1"/>
                <w:sz w:val="21"/>
              </w:rPr>
              <w:t xml:space="preserve">Required </w:t>
            </w:r>
            <w:r w:rsidR="00134B3D">
              <w:rPr>
                <w:rFonts w:ascii="Times New Roman" w:hAnsi="Times New Roman" w:cs="Times New Roman"/>
                <w:spacing w:val="-1"/>
                <w:sz w:val="21"/>
              </w:rPr>
              <w:t xml:space="preserve">Minimum 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Capital </w:t>
            </w:r>
          </w:p>
        </w:tc>
        <w:tc>
          <w:tcPr>
            <w:tcW w:w="1587" w:type="dxa"/>
          </w:tcPr>
          <w:p w14:paraId="4A94A93C" w14:textId="77777777" w:rsidR="00D513B5" w:rsidRPr="008346F6" w:rsidRDefault="00D513B5" w:rsidP="00D513B5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529,862 </w:t>
            </w:r>
          </w:p>
        </w:tc>
        <w:tc>
          <w:tcPr>
            <w:tcW w:w="1590" w:type="dxa"/>
          </w:tcPr>
          <w:p w14:paraId="442D445B" w14:textId="77777777" w:rsidR="00D513B5" w:rsidRPr="008346F6" w:rsidRDefault="00D513B5" w:rsidP="00D513B5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506,992 </w:t>
            </w:r>
          </w:p>
        </w:tc>
        <w:tc>
          <w:tcPr>
            <w:tcW w:w="1566" w:type="dxa"/>
          </w:tcPr>
          <w:p w14:paraId="17A41D92" w14:textId="77777777" w:rsidR="00D513B5" w:rsidRPr="008346F6" w:rsidRDefault="00D513B5" w:rsidP="00D513B5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488,210 </w:t>
            </w:r>
          </w:p>
        </w:tc>
        <w:tc>
          <w:tcPr>
            <w:tcW w:w="1565" w:type="dxa"/>
          </w:tcPr>
          <w:p w14:paraId="0E0F1A99" w14:textId="77777777" w:rsidR="00D513B5" w:rsidRPr="008346F6" w:rsidRDefault="00D513B5" w:rsidP="00D513B5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465,493 </w:t>
            </w:r>
          </w:p>
        </w:tc>
      </w:tr>
      <w:tr w:rsidR="00D513B5" w:rsidRPr="008346F6" w14:paraId="0BB75FA0" w14:textId="77777777">
        <w:trPr>
          <w:trHeight w:val="397"/>
        </w:trPr>
        <w:tc>
          <w:tcPr>
            <w:tcW w:w="3078" w:type="dxa"/>
            <w:tcBorders>
              <w:left w:val="single" w:sz="6" w:space="0" w:color="000000"/>
            </w:tcBorders>
          </w:tcPr>
          <w:p w14:paraId="553F0BC7" w14:textId="4F20EB52" w:rsidR="00D513B5" w:rsidRPr="008346F6" w:rsidRDefault="00D513B5" w:rsidP="00D513B5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equired R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eserve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C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apital and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C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ountercyclical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C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apital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Buffer</w:t>
            </w:r>
          </w:p>
        </w:tc>
        <w:tc>
          <w:tcPr>
            <w:tcW w:w="1587" w:type="dxa"/>
          </w:tcPr>
          <w:p w14:paraId="6EB3B76B" w14:textId="77777777" w:rsidR="00D513B5" w:rsidRPr="008346F6" w:rsidRDefault="00D513B5" w:rsidP="00D513B5">
            <w:pPr>
              <w:pStyle w:val="TableParagraph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165,582 </w:t>
            </w:r>
          </w:p>
        </w:tc>
        <w:tc>
          <w:tcPr>
            <w:tcW w:w="1590" w:type="dxa"/>
          </w:tcPr>
          <w:p w14:paraId="7F9073CF" w14:textId="77777777" w:rsidR="00D513B5" w:rsidRPr="008346F6" w:rsidRDefault="00D513B5" w:rsidP="00D513B5">
            <w:pPr>
              <w:pStyle w:val="TableParagraph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158,435 </w:t>
            </w:r>
          </w:p>
        </w:tc>
        <w:tc>
          <w:tcPr>
            <w:tcW w:w="1566" w:type="dxa"/>
          </w:tcPr>
          <w:p w14:paraId="63B7DAC9" w14:textId="77777777" w:rsidR="00D513B5" w:rsidRPr="008346F6" w:rsidRDefault="00D513B5" w:rsidP="00D513B5">
            <w:pPr>
              <w:pStyle w:val="TableParagraph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152,565 </w:t>
            </w:r>
          </w:p>
        </w:tc>
        <w:tc>
          <w:tcPr>
            <w:tcW w:w="1565" w:type="dxa"/>
          </w:tcPr>
          <w:p w14:paraId="1F514456" w14:textId="77777777" w:rsidR="00D513B5" w:rsidRPr="008346F6" w:rsidRDefault="00D513B5" w:rsidP="00D513B5">
            <w:pPr>
              <w:pStyle w:val="TableParagraph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145,467 </w:t>
            </w:r>
          </w:p>
        </w:tc>
      </w:tr>
      <w:tr w:rsidR="00D513B5" w:rsidRPr="008346F6" w14:paraId="52A43F4F" w14:textId="77777777">
        <w:trPr>
          <w:trHeight w:val="395"/>
        </w:trPr>
        <w:tc>
          <w:tcPr>
            <w:tcW w:w="3078" w:type="dxa"/>
            <w:tcBorders>
              <w:left w:val="single" w:sz="6" w:space="0" w:color="000000"/>
            </w:tcBorders>
          </w:tcPr>
          <w:p w14:paraId="14DC4270" w14:textId="7345DB58" w:rsidR="00D513B5" w:rsidRPr="008346F6" w:rsidRDefault="00D513B5" w:rsidP="00D513B5">
            <w:pPr>
              <w:pStyle w:val="TableParagraph"/>
              <w:spacing w:before="63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Core 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t</w:t>
            </w: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ier 1 Capital Adequacy Ratio 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>(%)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60ED76D6" w14:textId="77777777" w:rsidR="00D513B5" w:rsidRPr="008346F6" w:rsidRDefault="00D513B5" w:rsidP="00D513B5">
            <w:pPr>
              <w:pStyle w:val="TableParagraph"/>
              <w:spacing w:before="63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9.75 </w:t>
            </w:r>
          </w:p>
        </w:tc>
        <w:tc>
          <w:tcPr>
            <w:tcW w:w="1590" w:type="dxa"/>
          </w:tcPr>
          <w:p w14:paraId="10F4D9C5" w14:textId="77777777" w:rsidR="00D513B5" w:rsidRPr="008346F6" w:rsidRDefault="00D513B5" w:rsidP="00D513B5">
            <w:pPr>
              <w:pStyle w:val="TableParagraph"/>
              <w:spacing w:before="63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9.26 </w:t>
            </w:r>
          </w:p>
        </w:tc>
        <w:tc>
          <w:tcPr>
            <w:tcW w:w="1566" w:type="dxa"/>
          </w:tcPr>
          <w:p w14:paraId="1C530EDE" w14:textId="77777777" w:rsidR="00D513B5" w:rsidRPr="008346F6" w:rsidRDefault="00D513B5" w:rsidP="00D513B5">
            <w:pPr>
              <w:pStyle w:val="TableParagraph"/>
              <w:spacing w:before="63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9.81 </w:t>
            </w:r>
          </w:p>
        </w:tc>
        <w:tc>
          <w:tcPr>
            <w:tcW w:w="1565" w:type="dxa"/>
          </w:tcPr>
          <w:p w14:paraId="396E2C3F" w14:textId="77777777" w:rsidR="00D513B5" w:rsidRPr="008346F6" w:rsidRDefault="00D513B5" w:rsidP="00D513B5">
            <w:pPr>
              <w:pStyle w:val="TableParagraph"/>
              <w:spacing w:before="63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9.35 </w:t>
            </w:r>
          </w:p>
        </w:tc>
      </w:tr>
      <w:tr w:rsidR="00D513B5" w:rsidRPr="008346F6" w14:paraId="5361BD8D" w14:textId="77777777">
        <w:trPr>
          <w:trHeight w:val="398"/>
        </w:trPr>
        <w:tc>
          <w:tcPr>
            <w:tcW w:w="3078" w:type="dxa"/>
            <w:tcBorders>
              <w:left w:val="single" w:sz="6" w:space="0" w:color="000000"/>
            </w:tcBorders>
          </w:tcPr>
          <w:p w14:paraId="021D8C0D" w14:textId="50614B2E" w:rsidR="00D513B5" w:rsidRPr="008346F6" w:rsidRDefault="00D513B5" w:rsidP="00D513B5">
            <w:pPr>
              <w:pStyle w:val="TableParagraph"/>
              <w:spacing w:before="66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Tier 1 Capital Adequacy Ratio 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>(%)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429273BD" w14:textId="77777777" w:rsidR="00D513B5" w:rsidRPr="008346F6" w:rsidRDefault="00D513B5" w:rsidP="00D513B5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11.05 </w:t>
            </w:r>
          </w:p>
        </w:tc>
        <w:tc>
          <w:tcPr>
            <w:tcW w:w="1590" w:type="dxa"/>
          </w:tcPr>
          <w:p w14:paraId="076EE92A" w14:textId="77777777" w:rsidR="00D513B5" w:rsidRPr="008346F6" w:rsidRDefault="00D513B5" w:rsidP="00D513B5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10.61 </w:t>
            </w:r>
          </w:p>
        </w:tc>
        <w:tc>
          <w:tcPr>
            <w:tcW w:w="1566" w:type="dxa"/>
          </w:tcPr>
          <w:p w14:paraId="44F3B006" w14:textId="77777777" w:rsidR="00D513B5" w:rsidRPr="008346F6" w:rsidRDefault="00D513B5" w:rsidP="00D513B5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11.22 </w:t>
            </w:r>
          </w:p>
        </w:tc>
        <w:tc>
          <w:tcPr>
            <w:tcW w:w="1565" w:type="dxa"/>
          </w:tcPr>
          <w:p w14:paraId="53B49FC2" w14:textId="77777777" w:rsidR="00D513B5" w:rsidRPr="008346F6" w:rsidRDefault="00D513B5" w:rsidP="00D513B5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10.83 </w:t>
            </w:r>
          </w:p>
        </w:tc>
      </w:tr>
      <w:tr w:rsidR="00D513B5" w:rsidRPr="008346F6" w14:paraId="294A9481" w14:textId="77777777">
        <w:trPr>
          <w:trHeight w:val="396"/>
        </w:trPr>
        <w:tc>
          <w:tcPr>
            <w:tcW w:w="3078" w:type="dxa"/>
            <w:tcBorders>
              <w:left w:val="single" w:sz="6" w:space="0" w:color="000000"/>
            </w:tcBorders>
          </w:tcPr>
          <w:p w14:paraId="67B1AF86" w14:textId="449583C9" w:rsidR="00D513B5" w:rsidRPr="008346F6" w:rsidRDefault="00D513B5" w:rsidP="00D513B5">
            <w:pPr>
              <w:pStyle w:val="TableParagraph"/>
              <w:spacing w:before="66"/>
              <w:ind w:left="105"/>
              <w:jc w:val="left"/>
              <w:rPr>
                <w:rFonts w:ascii="Times New Roman" w:hAnsi="Times New Roman" w:cs="Times New Roman"/>
                <w:sz w:val="21"/>
              </w:rPr>
            </w:pPr>
            <w:r w:rsidRPr="002D6BEC">
              <w:rPr>
                <w:rFonts w:ascii="Times New Roman" w:hAnsi="Times New Roman" w:cs="Times New Roman"/>
                <w:spacing w:val="-1"/>
                <w:sz w:val="21"/>
              </w:rPr>
              <w:t xml:space="preserve">Capital Adequacy Ratio </w:t>
            </w:r>
            <w:r w:rsidRPr="008346F6">
              <w:rPr>
                <w:rFonts w:ascii="Times New Roman" w:hAnsi="Times New Roman" w:cs="Times New Roman"/>
                <w:spacing w:val="-1"/>
                <w:sz w:val="21"/>
              </w:rPr>
              <w:t>(%)</w:t>
            </w:r>
            <w:r w:rsidRPr="008346F6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7" w:type="dxa"/>
          </w:tcPr>
          <w:p w14:paraId="26A797B3" w14:textId="77777777" w:rsidR="00D513B5" w:rsidRPr="008346F6" w:rsidRDefault="00D513B5" w:rsidP="00D513B5">
            <w:pPr>
              <w:pStyle w:val="TableParagraph"/>
              <w:spacing w:before="66"/>
              <w:ind w:right="27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14.45 </w:t>
            </w:r>
          </w:p>
        </w:tc>
        <w:tc>
          <w:tcPr>
            <w:tcW w:w="1590" w:type="dxa"/>
          </w:tcPr>
          <w:p w14:paraId="067376B6" w14:textId="77777777" w:rsidR="00D513B5" w:rsidRPr="008346F6" w:rsidRDefault="00D513B5" w:rsidP="00D513B5">
            <w:pPr>
              <w:pStyle w:val="TableParagraph"/>
              <w:spacing w:before="66"/>
              <w:ind w:right="28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14.10 </w:t>
            </w:r>
          </w:p>
        </w:tc>
        <w:tc>
          <w:tcPr>
            <w:tcW w:w="1566" w:type="dxa"/>
          </w:tcPr>
          <w:p w14:paraId="169DDEF0" w14:textId="77777777" w:rsidR="00D513B5" w:rsidRPr="008346F6" w:rsidRDefault="00D513B5" w:rsidP="00D513B5">
            <w:pPr>
              <w:pStyle w:val="TableParagraph"/>
              <w:spacing w:before="66"/>
              <w:ind w:right="31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14.39 </w:t>
            </w:r>
          </w:p>
        </w:tc>
        <w:tc>
          <w:tcPr>
            <w:tcW w:w="1565" w:type="dxa"/>
          </w:tcPr>
          <w:p w14:paraId="417E6738" w14:textId="77777777" w:rsidR="00D513B5" w:rsidRPr="008346F6" w:rsidRDefault="00D513B5" w:rsidP="00D513B5">
            <w:pPr>
              <w:pStyle w:val="TableParagraph"/>
              <w:spacing w:before="66"/>
              <w:ind w:right="30"/>
              <w:rPr>
                <w:rFonts w:ascii="Times New Roman" w:hAnsi="Times New Roman" w:cs="Times New Roman"/>
                <w:sz w:val="21"/>
              </w:rPr>
            </w:pPr>
            <w:r w:rsidRPr="008346F6">
              <w:rPr>
                <w:rFonts w:ascii="Times New Roman" w:hAnsi="Times New Roman" w:cs="Times New Roman"/>
                <w:sz w:val="21"/>
              </w:rPr>
              <w:t xml:space="preserve">14.10 </w:t>
            </w:r>
          </w:p>
        </w:tc>
      </w:tr>
    </w:tbl>
    <w:p w14:paraId="0EBD3A86" w14:textId="77777777" w:rsidR="00D513B5" w:rsidRDefault="00D513B5" w:rsidP="00D513B5">
      <w:pPr>
        <w:jc w:val="right"/>
        <w:rPr>
          <w:rFonts w:ascii="Times New Roman" w:hAnsi="Times New Roman" w:cs="Times New Roman"/>
          <w:sz w:val="21"/>
        </w:rPr>
      </w:pPr>
    </w:p>
    <w:p w14:paraId="2181EBF5" w14:textId="28A9D4AF" w:rsidR="00C60E7E" w:rsidRDefault="00D513B5" w:rsidP="00D513B5">
      <w:pPr>
        <w:jc w:val="right"/>
        <w:rPr>
          <w:rFonts w:ascii="Times New Roman" w:hAnsi="Times New Roman" w:cs="Times New Roman"/>
          <w:i/>
          <w:iCs/>
          <w:sz w:val="21"/>
        </w:rPr>
      </w:pPr>
      <w:r w:rsidRPr="002D6BEC">
        <w:rPr>
          <w:rFonts w:ascii="Times New Roman" w:hAnsi="Times New Roman" w:cs="Times New Roman"/>
          <w:sz w:val="21"/>
        </w:rPr>
        <w:t xml:space="preserve">Note: The data in the above table was prepared in accordance with the requirements of </w:t>
      </w:r>
      <w:r w:rsidRPr="00D513B5">
        <w:rPr>
          <w:rFonts w:ascii="Times New Roman" w:hAnsi="Times New Roman" w:cs="Times New Roman"/>
          <w:i/>
          <w:iCs/>
          <w:sz w:val="21"/>
        </w:rPr>
        <w:t xml:space="preserve">the Notice of the China </w:t>
      </w:r>
    </w:p>
    <w:p w14:paraId="16511372" w14:textId="77777777" w:rsidR="00D513B5" w:rsidRPr="008346F6" w:rsidRDefault="00D513B5" w:rsidP="00D513B5">
      <w:pPr>
        <w:jc w:val="right"/>
        <w:rPr>
          <w:rFonts w:ascii="Times New Roman" w:hAnsi="Times New Roman" w:cs="Times New Roman"/>
          <w:sz w:val="21"/>
        </w:rPr>
      </w:pPr>
    </w:p>
    <w:p w14:paraId="5B7BF577" w14:textId="43624B70" w:rsidR="00D513B5" w:rsidRDefault="00D513B5" w:rsidP="00D513B5">
      <w:pPr>
        <w:pStyle w:val="a3"/>
        <w:spacing w:before="53" w:line="304" w:lineRule="auto"/>
        <w:ind w:left="658" w:right="564" w:firstLine="4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513B5">
        <w:rPr>
          <w:rFonts w:ascii="Times New Roman" w:hAnsi="Times New Roman" w:cs="Times New Roman"/>
        </w:rPr>
        <w:t xml:space="preserve">he other contents of the Company's </w:t>
      </w:r>
      <w:r w:rsidRPr="00D513B5">
        <w:rPr>
          <w:rFonts w:ascii="Times New Roman" w:hAnsi="Times New Roman" w:cs="Times New Roman"/>
          <w:i/>
          <w:iCs/>
        </w:rPr>
        <w:t>Third Quarter 2022 Report</w:t>
      </w:r>
      <w:r w:rsidRPr="00D513B5">
        <w:rPr>
          <w:rFonts w:ascii="Times New Roman" w:hAnsi="Times New Roman" w:cs="Times New Roman"/>
        </w:rPr>
        <w:t xml:space="preserve"> remain unchanged, and the</w:t>
      </w:r>
      <w:r>
        <w:rPr>
          <w:rFonts w:ascii="Times New Roman" w:hAnsi="Times New Roman" w:cs="Times New Roman"/>
        </w:rPr>
        <w:t xml:space="preserve"> corrected</w:t>
      </w:r>
      <w:r w:rsidRPr="00D513B5">
        <w:rPr>
          <w:rFonts w:ascii="Times New Roman" w:hAnsi="Times New Roman" w:cs="Times New Roman"/>
        </w:rPr>
        <w:t xml:space="preserve"> </w:t>
      </w:r>
      <w:r w:rsidRPr="00D513B5">
        <w:rPr>
          <w:rFonts w:ascii="Times New Roman" w:hAnsi="Times New Roman" w:cs="Times New Roman"/>
          <w:i/>
          <w:iCs/>
        </w:rPr>
        <w:t>Third Quarter 2022 Report (Revised)</w:t>
      </w:r>
      <w:r w:rsidRPr="00D513B5">
        <w:rPr>
          <w:rFonts w:ascii="Times New Roman" w:hAnsi="Times New Roman" w:cs="Times New Roman"/>
        </w:rPr>
        <w:t xml:space="preserve"> is available on the website of the Shanghai Stock Exchange. The Company will further strengthen the preparation and review of information disclosure </w:t>
      </w:r>
      <w:r>
        <w:rPr>
          <w:rFonts w:ascii="Times New Roman" w:hAnsi="Times New Roman" w:cs="Times New Roman"/>
        </w:rPr>
        <w:t>statements to keep</w:t>
      </w:r>
      <w:r w:rsidRPr="00D513B5">
        <w:rPr>
          <w:rFonts w:ascii="Times New Roman" w:hAnsi="Times New Roman" w:cs="Times New Roman"/>
        </w:rPr>
        <w:t xml:space="preserve"> improv</w:t>
      </w:r>
      <w:r>
        <w:rPr>
          <w:rFonts w:ascii="Times New Roman" w:hAnsi="Times New Roman" w:cs="Times New Roman"/>
        </w:rPr>
        <w:t>ing</w:t>
      </w:r>
      <w:r w:rsidRPr="00D513B5">
        <w:rPr>
          <w:rFonts w:ascii="Times New Roman" w:hAnsi="Times New Roman" w:cs="Times New Roman"/>
        </w:rPr>
        <w:t xml:space="preserve"> the quality of information disclosure </w:t>
      </w:r>
      <w:r>
        <w:rPr>
          <w:rFonts w:ascii="Times New Roman" w:hAnsi="Times New Roman" w:cs="Times New Roman"/>
        </w:rPr>
        <w:t>and</w:t>
      </w:r>
      <w:r w:rsidRPr="00D513B5">
        <w:rPr>
          <w:rFonts w:ascii="Times New Roman" w:hAnsi="Times New Roman" w:cs="Times New Roman"/>
        </w:rPr>
        <w:t xml:space="preserve"> avoid </w:t>
      </w:r>
      <w:r>
        <w:rPr>
          <w:rFonts w:ascii="Times New Roman" w:hAnsi="Times New Roman" w:cs="Times New Roman"/>
        </w:rPr>
        <w:t>the same mistake</w:t>
      </w:r>
      <w:r w:rsidRPr="00D513B5">
        <w:rPr>
          <w:rFonts w:ascii="Times New Roman" w:hAnsi="Times New Roman" w:cs="Times New Roman"/>
        </w:rPr>
        <w:t xml:space="preserve">. The Company </w:t>
      </w:r>
      <w:r>
        <w:rPr>
          <w:rFonts w:ascii="Times New Roman" w:hAnsi="Times New Roman" w:cs="Times New Roman"/>
        </w:rPr>
        <w:t xml:space="preserve">sincerely </w:t>
      </w:r>
      <w:r w:rsidRPr="00D513B5">
        <w:rPr>
          <w:rFonts w:ascii="Times New Roman" w:hAnsi="Times New Roman" w:cs="Times New Roman"/>
        </w:rPr>
        <w:t xml:space="preserve">apologizes for any inconvenience </w:t>
      </w:r>
      <w:r>
        <w:rPr>
          <w:rFonts w:ascii="Times New Roman" w:hAnsi="Times New Roman" w:cs="Times New Roman"/>
        </w:rPr>
        <w:t xml:space="preserve">caused to </w:t>
      </w:r>
      <w:r w:rsidR="003D3A75">
        <w:rPr>
          <w:rFonts w:ascii="Times New Roman" w:hAnsi="Times New Roman" w:cs="Times New Roman"/>
        </w:rPr>
        <w:t>investors</w:t>
      </w:r>
      <w:r w:rsidR="008A11DD">
        <w:rPr>
          <w:rFonts w:ascii="Times New Roman" w:hAnsi="Times New Roman" w:cs="Times New Roman"/>
        </w:rPr>
        <w:t>.</w:t>
      </w:r>
    </w:p>
    <w:p w14:paraId="2588FE0B" w14:textId="77777777" w:rsidR="00D513B5" w:rsidRDefault="00D513B5" w:rsidP="00D513B5">
      <w:pPr>
        <w:pStyle w:val="a3"/>
        <w:spacing w:before="53" w:line="304" w:lineRule="auto"/>
        <w:ind w:left="658" w:right="564" w:firstLine="479"/>
        <w:jc w:val="both"/>
        <w:rPr>
          <w:rFonts w:ascii="Times New Roman" w:hAnsi="Times New Roman" w:cs="Times New Roman"/>
        </w:rPr>
      </w:pPr>
    </w:p>
    <w:p w14:paraId="57F4248B" w14:textId="3D84AA60" w:rsidR="00D513B5" w:rsidRPr="002C0E70" w:rsidRDefault="00D513B5" w:rsidP="00D513B5">
      <w:pPr>
        <w:pStyle w:val="a3"/>
        <w:spacing w:before="53" w:line="304" w:lineRule="auto"/>
        <w:ind w:left="658" w:right="564" w:firstLine="479"/>
        <w:jc w:val="both"/>
        <w:rPr>
          <w:rFonts w:ascii="Times New Roman" w:hAnsi="Times New Roman" w:cs="Times New Roman"/>
        </w:rPr>
      </w:pPr>
      <w:r w:rsidRPr="00E52812">
        <w:rPr>
          <w:rFonts w:ascii="Times New Roman" w:hAnsi="Times New Roman" w:cs="Times New Roman"/>
        </w:rPr>
        <w:t>It is hereby announced.</w:t>
      </w:r>
    </w:p>
    <w:p w14:paraId="4C2AC0E9" w14:textId="77777777" w:rsidR="00D513B5" w:rsidRDefault="00D513B5" w:rsidP="00D513B5">
      <w:pPr>
        <w:wordWrap w:val="0"/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2C0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79160" w14:textId="77777777" w:rsidR="00D513B5" w:rsidRDefault="00D513B5" w:rsidP="00D513B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sz w:val="24"/>
          <w:szCs w:val="24"/>
        </w:rPr>
        <w:t xml:space="preserve">Board of Directors of Industrial Bank Co., Ltd. </w:t>
      </w:r>
    </w:p>
    <w:p w14:paraId="22EE12C9" w14:textId="4FB1E476" w:rsidR="00C60E7E" w:rsidRPr="008346F6" w:rsidRDefault="00D513B5" w:rsidP="00D513B5">
      <w:pPr>
        <w:pStyle w:val="a3"/>
        <w:spacing w:line="305" w:lineRule="exact"/>
        <w:ind w:firstLineChars="100" w:firstLin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28,</w:t>
      </w:r>
      <w:r w:rsidRPr="003C524C">
        <w:rPr>
          <w:rFonts w:ascii="Times New Roman" w:hAnsi="Times New Roman" w:cs="Times New Roman"/>
        </w:rPr>
        <w:t xml:space="preserve"> 2022</w:t>
      </w:r>
    </w:p>
    <w:sectPr w:rsidR="00C60E7E" w:rsidRPr="008346F6">
      <w:footerReference w:type="default" r:id="rId7"/>
      <w:pgSz w:w="11910" w:h="16840"/>
      <w:pgMar w:top="1120" w:right="1140" w:bottom="1420" w:left="1140" w:header="0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A534" w14:textId="77777777" w:rsidR="00A46DC5" w:rsidRDefault="00A46DC5">
      <w:r>
        <w:separator/>
      </w:r>
    </w:p>
  </w:endnote>
  <w:endnote w:type="continuationSeparator" w:id="0">
    <w:p w14:paraId="6342623F" w14:textId="77777777" w:rsidR="00A46DC5" w:rsidRDefault="00A4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73EA" w14:textId="77777777" w:rsidR="00D513B5" w:rsidRDefault="0001412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F24B56">
              <wp:simplePos x="0" y="0"/>
              <wp:positionH relativeFrom="page">
                <wp:posOffset>3712845</wp:posOffset>
              </wp:positionH>
              <wp:positionV relativeFrom="page">
                <wp:posOffset>9768205</wp:posOffset>
              </wp:positionV>
              <wp:extent cx="133350" cy="15240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6E00F" w14:textId="77777777" w:rsidR="00D513B5" w:rsidRDefault="00D513B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24B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69.1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" filled="f" stroked="f">
              <v:path arrowok="t"/>
              <v:textbox inset="0,0,0,0">
                <w:txbxContent>
                  <w:p w14:paraId="6306E00F" w14:textId="77777777" w:rsidR="00D513B5" w:rsidRDefault="00D513B5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0A44" w14:textId="77777777" w:rsidR="00A46DC5" w:rsidRDefault="00A46DC5">
      <w:r>
        <w:separator/>
      </w:r>
    </w:p>
  </w:footnote>
  <w:footnote w:type="continuationSeparator" w:id="0">
    <w:p w14:paraId="1C8CB8FD" w14:textId="77777777" w:rsidR="00A46DC5" w:rsidRDefault="00A4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CCB"/>
    <w:multiLevelType w:val="hybridMultilevel"/>
    <w:tmpl w:val="C1B0176A"/>
    <w:lvl w:ilvl="0" w:tplc="287C87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571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7E"/>
    <w:rsid w:val="00014129"/>
    <w:rsid w:val="000A10B0"/>
    <w:rsid w:val="00134B3D"/>
    <w:rsid w:val="00200D3B"/>
    <w:rsid w:val="002D6BEC"/>
    <w:rsid w:val="003B36DC"/>
    <w:rsid w:val="003D3A75"/>
    <w:rsid w:val="008346F6"/>
    <w:rsid w:val="008A11DD"/>
    <w:rsid w:val="009A1F5A"/>
    <w:rsid w:val="00A46DC5"/>
    <w:rsid w:val="00C60E7E"/>
    <w:rsid w:val="00C65FD2"/>
    <w:rsid w:val="00D513B5"/>
    <w:rsid w:val="00E0480B"/>
    <w:rsid w:val="00E9513E"/>
    <w:rsid w:val="00F27894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22858"/>
  <w15:docId w15:val="{D799390B-B44A-AE4D-9E9A-2823D3B6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"/>
      <w:ind w:left="1183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5"/>
      <w:jc w:val="right"/>
    </w:pPr>
  </w:style>
  <w:style w:type="paragraph" w:styleId="3">
    <w:name w:val="List 3"/>
    <w:basedOn w:val="a"/>
    <w:qFormat/>
    <w:rsid w:val="00D513B5"/>
    <w:pPr>
      <w:autoSpaceDE/>
      <w:autoSpaceDN/>
      <w:ind w:leftChars="400" w:left="100" w:hangingChars="200" w:hanging="200"/>
      <w:jc w:val="both"/>
    </w:pPr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兴业银行股份有限公司2007年第三季度报告</dc:title>
  <dc:creator>陈志伟</dc:creator>
  <cp:lastModifiedBy>Cindy Luo</cp:lastModifiedBy>
  <cp:revision>2</cp:revision>
  <dcterms:created xsi:type="dcterms:W3CDTF">2022-11-18T08:27:00Z</dcterms:created>
  <dcterms:modified xsi:type="dcterms:W3CDTF">2022-11-18T08:27:00Z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