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4509" w14:textId="2BD83546" w:rsidR="008D787A" w:rsidRPr="00153FF6" w:rsidRDefault="008D787A" w:rsidP="008D787A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Announcement Code: TEMP 202</w:t>
      </w:r>
      <w:r>
        <w:rPr>
          <w:rFonts w:ascii="Times New Roman" w:hAnsi="Times New Roman"/>
          <w:b/>
          <w:color w:val="000000"/>
          <w:szCs w:val="21"/>
        </w:rPr>
        <w:t>3-001</w:t>
      </w:r>
    </w:p>
    <w:p w14:paraId="4A7139FE" w14:textId="77777777" w:rsidR="008D787A" w:rsidRPr="00153FF6" w:rsidRDefault="008D787A" w:rsidP="008D787A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A Share: 601166            Abbreviation of A Share: Industrial Bank</w:t>
      </w:r>
    </w:p>
    <w:p w14:paraId="74CAA94D" w14:textId="77777777" w:rsidR="008D787A" w:rsidRPr="00153FF6" w:rsidRDefault="008D787A" w:rsidP="008D787A">
      <w:pPr>
        <w:spacing w:line="400" w:lineRule="exact"/>
        <w:rPr>
          <w:rFonts w:ascii="Times New Roman" w:hAnsi="Times New Roman"/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1DCDDB9F" w14:textId="77777777" w:rsidR="008D787A" w:rsidRDefault="008D787A" w:rsidP="008D787A">
      <w:pPr>
        <w:spacing w:line="400" w:lineRule="exact"/>
        <w:rPr>
          <w:b/>
          <w:color w:val="000000"/>
          <w:szCs w:val="21"/>
        </w:rPr>
      </w:pPr>
      <w:r w:rsidRPr="00153FF6">
        <w:rPr>
          <w:rFonts w:ascii="Times New Roman" w:hAnsi="Times New Roman"/>
          <w:b/>
          <w:color w:val="000000"/>
          <w:szCs w:val="21"/>
        </w:rPr>
        <w:t>Code of Convertible Bonds:</w:t>
      </w:r>
      <w:proofErr w:type="gramStart"/>
      <w:r w:rsidRPr="00153FF6">
        <w:rPr>
          <w:rFonts w:ascii="Times New Roman" w:hAnsi="Times New Roman"/>
          <w:b/>
          <w:color w:val="000000"/>
          <w:szCs w:val="21"/>
        </w:rPr>
        <w:t>113052  Abbreviation</w:t>
      </w:r>
      <w:proofErr w:type="gramEnd"/>
      <w:r w:rsidRPr="00153FF6">
        <w:rPr>
          <w:rFonts w:ascii="Times New Roman" w:hAnsi="Times New Roman"/>
          <w:b/>
          <w:color w:val="000000"/>
          <w:szCs w:val="21"/>
        </w:rPr>
        <w:t xml:space="preserve"> of Convertible Bonds: Industrial Convertible Bonds     </w:t>
      </w:r>
    </w:p>
    <w:p w14:paraId="2DDB4895" w14:textId="77777777" w:rsidR="008D787A" w:rsidRPr="008D787A" w:rsidRDefault="008D787A">
      <w:pPr>
        <w:spacing w:before="12" w:line="249" w:lineRule="auto"/>
        <w:ind w:left="222" w:right="194"/>
        <w:rPr>
          <w:rFonts w:ascii="Times New Roman" w:eastAsia="Microsoft JhengHei" w:hAnsi="Times New Roman" w:cs="Times New Roman"/>
          <w:b/>
          <w:sz w:val="21"/>
        </w:rPr>
      </w:pPr>
    </w:p>
    <w:p w14:paraId="46527667" w14:textId="77777777" w:rsidR="00E11470" w:rsidRPr="008D787A" w:rsidRDefault="00000000">
      <w:pPr>
        <w:spacing w:line="369" w:lineRule="exact"/>
        <w:ind w:left="222"/>
        <w:rPr>
          <w:rFonts w:ascii="Times New Roman" w:hAnsi="Times New Roman" w:cs="Times New Roman"/>
          <w:b/>
          <w:sz w:val="24"/>
        </w:rPr>
      </w:pPr>
      <w:r w:rsidRPr="008D787A">
        <w:rPr>
          <w:rFonts w:ascii="Times New Roman" w:hAnsi="Times New Roman" w:cs="Times New Roman"/>
          <w:b/>
          <w:w w:val="200"/>
          <w:sz w:val="24"/>
        </w:rPr>
        <w:t xml:space="preserve"> </w:t>
      </w:r>
    </w:p>
    <w:p w14:paraId="0480AECD" w14:textId="77777777" w:rsidR="008D787A" w:rsidRDefault="008D787A" w:rsidP="008D787A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BC0F7E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57BE9E33" w14:textId="77777777" w:rsidR="008D787A" w:rsidRPr="00153FF6" w:rsidRDefault="008D787A" w:rsidP="008D787A">
      <w:pPr>
        <w:spacing w:line="56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8F18EB">
        <w:rPr>
          <w:rFonts w:ascii="Times New Roman" w:eastAsia="黑体" w:hAnsi="Times New Roman"/>
          <w:color w:val="FF0000"/>
          <w:sz w:val="36"/>
          <w:szCs w:val="36"/>
        </w:rPr>
        <w:t>Announcement on the Results of Conversion of Convertible Bonds and Changes in Shares</w:t>
      </w:r>
    </w:p>
    <w:p w14:paraId="1FB1D68D" w14:textId="77777777" w:rsidR="008D787A" w:rsidRPr="008D787A" w:rsidRDefault="008D787A">
      <w:pPr>
        <w:pStyle w:val="a4"/>
        <w:spacing w:line="561" w:lineRule="exact"/>
        <w:ind w:left="717"/>
        <w:rPr>
          <w:rFonts w:ascii="Times New Roman" w:hAnsi="Times New Roman" w:cs="Times New Roman"/>
        </w:rPr>
      </w:pPr>
    </w:p>
    <w:p w14:paraId="20EC7077" w14:textId="342D2808" w:rsidR="008D787A" w:rsidRDefault="008D787A" w:rsidP="008D787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F5568D">
        <w:rPr>
          <w:rFonts w:ascii="Times New Roman" w:hAnsi="Times New Roman"/>
          <w:sz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F5568D">
        <w:rPr>
          <w:rFonts w:ascii="Times New Roman" w:hAnsi="Times New Roman"/>
          <w:sz w:val="24"/>
        </w:rPr>
        <w:t>statement</w:t>
      </w:r>
      <w:proofErr w:type="gramEnd"/>
      <w:r w:rsidRPr="00F5568D">
        <w:rPr>
          <w:rFonts w:ascii="Times New Roman" w:hAnsi="Times New Roman"/>
          <w:sz w:val="24"/>
        </w:rPr>
        <w:t xml:space="preserve"> or major omission in the announcement.</w:t>
      </w:r>
    </w:p>
    <w:p w14:paraId="31437202" w14:textId="77777777" w:rsidR="008D787A" w:rsidRPr="008D787A" w:rsidRDefault="008D787A" w:rsidP="008D787A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</w:p>
    <w:p w14:paraId="5CC52BC1" w14:textId="464A73A6" w:rsidR="008D787A" w:rsidRPr="00153FF6" w:rsidRDefault="008D787A" w:rsidP="008D787A">
      <w:pPr>
        <w:spacing w:line="360" w:lineRule="auto"/>
        <w:ind w:firstLineChars="200" w:firstLine="482"/>
        <w:rPr>
          <w:rFonts w:ascii="Times New Roman" w:hAnsi="Times New Roman"/>
          <w:sz w:val="24"/>
        </w:rPr>
      </w:pPr>
      <w:r w:rsidRPr="008D787A">
        <w:rPr>
          <w:rFonts w:ascii="Times New Roman" w:hAnsi="Times New Roman"/>
          <w:b/>
          <w:bCs/>
          <w:sz w:val="24"/>
        </w:rPr>
        <w:t>Important Notes</w:t>
      </w:r>
      <w:r w:rsidRPr="008D787A">
        <w:rPr>
          <w:rFonts w:ascii="Times New Roman" w:hAnsi="Times New Roman"/>
          <w:sz w:val="24"/>
        </w:rPr>
        <w:t>:</w:t>
      </w:r>
    </w:p>
    <w:p w14:paraId="289838F6" w14:textId="6D61D188" w:rsidR="008D787A" w:rsidRPr="008D787A" w:rsidRDefault="008D787A" w:rsidP="008D78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of convertible bonds</w:t>
      </w:r>
      <w:r w:rsidRPr="008D787A">
        <w:rPr>
          <w:rFonts w:ascii="Times New Roman" w:hAnsi="Times New Roman" w:cs="Times New Roman"/>
          <w:sz w:val="24"/>
          <w:szCs w:val="24"/>
        </w:rPr>
        <w:t>: As of D</w:t>
      </w:r>
      <w:r w:rsidRPr="008D787A">
        <w:rPr>
          <w:rFonts w:ascii="Times New Roman" w:hAnsi="Times New Roman" w:cs="Times New Roman" w:hint="eastAsia"/>
          <w:sz w:val="24"/>
          <w:szCs w:val="24"/>
        </w:rPr>
        <w:t>ecem</w:t>
      </w:r>
      <w:r w:rsidRPr="008D787A">
        <w:rPr>
          <w:rFonts w:ascii="Times New Roman" w:hAnsi="Times New Roman" w:cs="Times New Roman"/>
          <w:sz w:val="24"/>
          <w:szCs w:val="24"/>
        </w:rPr>
        <w:t>ber 31, 2022, an aggregate amount of RMB 1,536,000 of the Industrial Convertible Bonds had been converted into A Shares of the Company, and the number of the accumulated shares converted from the Industrial Convertible Bonds was 62,177, representing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0.00030%</w:t>
      </w:r>
      <w:r w:rsidR="00B77E5D"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sz w:val="24"/>
          <w:szCs w:val="24"/>
        </w:rPr>
        <w:t>of the total issued ordinary shares of the Company before the conversion of the Industrial Convertible Bonds.</w:t>
      </w:r>
    </w:p>
    <w:p w14:paraId="5BF4FC8A" w14:textId="4C017746" w:rsidR="008D787A" w:rsidRPr="008D787A" w:rsidRDefault="008D787A" w:rsidP="008D78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Unconverted convertible bonds</w:t>
      </w:r>
      <w:r w:rsidRPr="008D787A">
        <w:rPr>
          <w:rFonts w:ascii="Times New Roman" w:hAnsi="Times New Roman" w:cs="Times New Roman"/>
          <w:sz w:val="24"/>
          <w:szCs w:val="24"/>
        </w:rPr>
        <w:t xml:space="preserve">: As of December 31, 2022, the unconverted Industrial Convertible Bonds amounted </w:t>
      </w:r>
      <w:r w:rsidR="00944527" w:rsidRPr="008D787A">
        <w:rPr>
          <w:rFonts w:ascii="Times New Roman" w:hAnsi="Times New Roman" w:cs="Times New Roman"/>
          <w:sz w:val="24"/>
          <w:szCs w:val="24"/>
        </w:rPr>
        <w:t>to RMB</w:t>
      </w:r>
      <w:r w:rsidRPr="008D787A">
        <w:rPr>
          <w:rFonts w:ascii="Times New Roman" w:hAnsi="Times New Roman" w:cs="Times New Roman"/>
          <w:sz w:val="24"/>
          <w:szCs w:val="24"/>
        </w:rPr>
        <w:t>49,998,464,000, representing 99.99693% of the total issued Industrial Convertible Bonds.</w:t>
      </w:r>
    </w:p>
    <w:p w14:paraId="56D69D7D" w14:textId="72D9859E" w:rsidR="008D787A" w:rsidRPr="008D787A" w:rsidRDefault="008D787A" w:rsidP="008D78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bCs/>
          <w:sz w:val="24"/>
          <w:szCs w:val="24"/>
        </w:rPr>
        <w:t>Conversion during this quarter</w:t>
      </w:r>
      <w:r w:rsidRPr="008D787A">
        <w:rPr>
          <w:rFonts w:ascii="Times New Roman" w:hAnsi="Times New Roman" w:cs="Times New Roman"/>
          <w:sz w:val="24"/>
          <w:szCs w:val="24"/>
        </w:rPr>
        <w:t xml:space="preserve">: During the period from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8D787A">
        <w:rPr>
          <w:rFonts w:ascii="Times New Roman" w:hAnsi="Times New Roman" w:cs="Times New Roman"/>
          <w:sz w:val="24"/>
          <w:szCs w:val="24"/>
        </w:rPr>
        <w:t xml:space="preserve"> 1 to </w:t>
      </w:r>
      <w:r>
        <w:rPr>
          <w:rFonts w:ascii="Times New Roman" w:hAnsi="Times New Roman" w:cs="Times New Roman"/>
          <w:sz w:val="24"/>
          <w:szCs w:val="24"/>
        </w:rPr>
        <w:t>December 31</w:t>
      </w:r>
      <w:r w:rsidRPr="008D787A">
        <w:rPr>
          <w:rFonts w:ascii="Times New Roman" w:hAnsi="Times New Roman" w:cs="Times New Roman"/>
          <w:sz w:val="24"/>
          <w:szCs w:val="24"/>
        </w:rPr>
        <w:t>, 2022, a total of RMB</w:t>
      </w:r>
      <w:r w:rsidR="00944527" w:rsidRPr="008D787A">
        <w:rPr>
          <w:rFonts w:ascii="Times New Roman" w:hAnsi="Times New Roman" w:cs="Times New Roman"/>
          <w:sz w:val="24"/>
          <w:szCs w:val="24"/>
        </w:rPr>
        <w:t>226,000 of</w:t>
      </w:r>
      <w:r w:rsidRPr="008D787A">
        <w:rPr>
          <w:rFonts w:ascii="Times New Roman" w:hAnsi="Times New Roman" w:cs="Times New Roman"/>
          <w:sz w:val="24"/>
          <w:szCs w:val="24"/>
        </w:rPr>
        <w:t xml:space="preserve"> Industrial bonds were converted into A shares of the Company, and the number of shares created upon conversion was </w:t>
      </w:r>
      <w:r>
        <w:rPr>
          <w:rFonts w:ascii="Times New Roman" w:hAnsi="Times New Roman" w:cs="Times New Roman"/>
          <w:sz w:val="24"/>
          <w:szCs w:val="24"/>
        </w:rPr>
        <w:t xml:space="preserve">9,155 </w:t>
      </w:r>
      <w:r w:rsidRPr="008D787A">
        <w:rPr>
          <w:rFonts w:ascii="Times New Roman" w:hAnsi="Times New Roman" w:cs="Times New Roman"/>
          <w:sz w:val="24"/>
          <w:szCs w:val="24"/>
        </w:rPr>
        <w:t>shares.</w:t>
      </w:r>
    </w:p>
    <w:p w14:paraId="0D186AC2" w14:textId="77777777" w:rsidR="00D373AD" w:rsidRDefault="00D373AD">
      <w:pPr>
        <w:spacing w:before="26"/>
        <w:ind w:left="70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8AC3C" w14:textId="7A078223" w:rsidR="00E11470" w:rsidRPr="00D373AD" w:rsidRDefault="00D373AD">
      <w:pPr>
        <w:spacing w:before="26"/>
        <w:ind w:left="704"/>
        <w:rPr>
          <w:rFonts w:ascii="Times New Roman" w:eastAsia="Microsoft JhengHei" w:hAnsi="Times New Roman" w:cs="Times New Roman"/>
          <w:b/>
          <w:bCs/>
          <w:sz w:val="24"/>
        </w:rPr>
      </w:pPr>
      <w:r w:rsidRPr="00D373A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373AD">
        <w:rPr>
          <w:rFonts w:ascii="Times New Roman" w:hAnsi="Times New Roman" w:cs="Times New Roman"/>
          <w:b/>
          <w:bCs/>
          <w:sz w:val="24"/>
          <w:szCs w:val="24"/>
        </w:rPr>
        <w:tab/>
        <w:t>Overview of Issuance and Listing of the Convertible Bonds</w:t>
      </w:r>
    </w:p>
    <w:p w14:paraId="74124B29" w14:textId="77777777" w:rsidR="00D373AD" w:rsidRPr="00D373AD" w:rsidRDefault="00D373AD" w:rsidP="00D373AD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Pursuant to the </w:t>
      </w:r>
      <w:r w:rsidRPr="00D373AD">
        <w:rPr>
          <w:rFonts w:ascii="Times New Roman" w:hAnsi="Times New Roman" w:cs="Times New Roman"/>
          <w:i/>
          <w:iCs/>
        </w:rPr>
        <w:t xml:space="preserve">Approval Letter for the Convertible Bonds to be Issued by Industrial Bank </w:t>
      </w:r>
      <w:r w:rsidRPr="00D373AD">
        <w:rPr>
          <w:rFonts w:ascii="Times New Roman" w:hAnsi="Times New Roman" w:cs="Times New Roman"/>
        </w:rPr>
        <w:t xml:space="preserve">sent by the China Securities Regulatory Commission (Zheng Jian Xu </w:t>
      </w:r>
      <w:proofErr w:type="spellStart"/>
      <w:r w:rsidRPr="00D373AD">
        <w:rPr>
          <w:rFonts w:ascii="Times New Roman" w:hAnsi="Times New Roman" w:cs="Times New Roman"/>
        </w:rPr>
        <w:t>Ke</w:t>
      </w:r>
      <w:proofErr w:type="spellEnd"/>
      <w:r w:rsidRPr="00D373AD">
        <w:rPr>
          <w:rFonts w:ascii="Times New Roman" w:hAnsi="Times New Roman" w:cs="Times New Roman"/>
        </w:rPr>
        <w:t xml:space="preserve"> [2021] No. 3927), Industrial Bank Co., Ltd (hereinafter referred to as the Company) publicly issued 500,000,000 A share convertible corporate bonds (hereinafter referred to as the Convertible Bonds or Industrial Convertible Bonds) on December 27, 2021 with par value of RMB100 per bond and a total issued value of RMB50 billion. The term of </w:t>
      </w:r>
      <w:r w:rsidRPr="00D373AD">
        <w:rPr>
          <w:rFonts w:ascii="Times New Roman" w:hAnsi="Times New Roman" w:cs="Times New Roman"/>
        </w:rPr>
        <w:lastRenderedPageBreak/>
        <w:t>the bonds is six years. The coupon rate is 0.2% in the first year, 0.4% in the second year, 1.0% in the third year, 1.5% in the fourth year, 2.3% in the fifth year and 3.0% in the sixth year.</w:t>
      </w:r>
    </w:p>
    <w:p w14:paraId="7CDA6AD6" w14:textId="77777777" w:rsidR="00D373AD" w:rsidRPr="00D373AD" w:rsidRDefault="00D373AD" w:rsidP="00D373AD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</w:rPr>
      </w:pPr>
      <w:r w:rsidRPr="00D373AD">
        <w:rPr>
          <w:rFonts w:ascii="Times New Roman" w:hAnsi="Times New Roman" w:cs="Times New Roman"/>
        </w:rPr>
        <w:t xml:space="preserve">As approved by the </w:t>
      </w:r>
      <w:r w:rsidRPr="00D373AD">
        <w:rPr>
          <w:rFonts w:ascii="Times New Roman" w:hAnsi="Times New Roman" w:cs="Times New Roman"/>
          <w:i/>
          <w:iCs/>
        </w:rPr>
        <w:t>Guideline No. 13 [2022] on the Application of Shanghai Stock Exchange Self-Regulation Rules</w:t>
      </w:r>
      <w:r w:rsidRPr="00D373AD">
        <w:rPr>
          <w:rFonts w:ascii="Times New Roman" w:hAnsi="Times New Roman" w:cs="Times New Roman"/>
        </w:rPr>
        <w:t>, the RMB50 billion worth of Industrial Convertible Bonds have commenced listing and trading on Shanghai Stock Exchange since January 14, 2022, abbreviated as “Industrial Convertible Bonds” and coded as “113052”.</w:t>
      </w:r>
    </w:p>
    <w:p w14:paraId="5D74404E" w14:textId="29D83376" w:rsidR="00D373AD" w:rsidRPr="008D787A" w:rsidRDefault="00D373AD" w:rsidP="00D373AD">
      <w:pPr>
        <w:pStyle w:val="a3"/>
        <w:spacing w:before="106" w:line="364" w:lineRule="auto"/>
        <w:ind w:right="238" w:firstLine="479"/>
        <w:jc w:val="both"/>
        <w:rPr>
          <w:rFonts w:ascii="Times New Roman" w:hAnsi="Times New Roman" w:cs="Times New Roman"/>
          <w:spacing w:val="-5"/>
          <w:w w:val="95"/>
        </w:rPr>
      </w:pPr>
      <w:r w:rsidRPr="00D373AD">
        <w:rPr>
          <w:rFonts w:ascii="Times New Roman" w:hAnsi="Times New Roman" w:cs="Times New Roman"/>
        </w:rPr>
        <w:t>In accordance with the relevant provisions of the Management Measures for Convertible Corporate Bonds and the Offering Document of Public Issue of A-share Convertible Corporate Bonds of Industrial Bank Co., Ltd., the Industrial Convertible Bonds have been convertible into A shares of the Company from June 30, 2022. The current conversion price of Industrial Convertible Bonds is RMB24.48 per share.</w:t>
      </w:r>
    </w:p>
    <w:p w14:paraId="48C59E1B" w14:textId="1F1B0CD4" w:rsidR="00E11470" w:rsidRDefault="00000000">
      <w:pPr>
        <w:pStyle w:val="a3"/>
        <w:spacing w:before="3" w:line="364" w:lineRule="auto"/>
        <w:ind w:right="237" w:firstLine="479"/>
        <w:jc w:val="both"/>
        <w:rPr>
          <w:rFonts w:ascii="Times New Roman" w:hAnsi="Times New Roman" w:cs="Times New Roman"/>
        </w:rPr>
      </w:pPr>
      <w:r w:rsidRPr="008D787A">
        <w:rPr>
          <w:rFonts w:ascii="Times New Roman" w:hAnsi="Times New Roman" w:cs="Times New Roman"/>
        </w:rPr>
        <w:t xml:space="preserve"> </w:t>
      </w:r>
    </w:p>
    <w:p w14:paraId="0A066FE6" w14:textId="77777777" w:rsidR="00D373AD" w:rsidRPr="00153FF6" w:rsidRDefault="00D373AD" w:rsidP="00D373AD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9C3753">
        <w:rPr>
          <w:rFonts w:ascii="Times New Roman" w:hAnsi="Times New Roman"/>
          <w:b/>
          <w:bCs/>
          <w:sz w:val="24"/>
        </w:rPr>
        <w:t>II. Conversion of the Convertible Bonds</w:t>
      </w:r>
    </w:p>
    <w:p w14:paraId="33FF8453" w14:textId="6DCBCD48" w:rsidR="00D373AD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E81855">
        <w:rPr>
          <w:rFonts w:ascii="Times New Roman" w:hAnsi="Times New Roman"/>
          <w:sz w:val="24"/>
        </w:rPr>
        <w:t>n aggregate amount of RMB</w:t>
      </w:r>
      <w:r w:rsidRPr="00D373AD">
        <w:rPr>
          <w:rFonts w:ascii="Times New Roman" w:hAnsi="Times New Roman"/>
          <w:sz w:val="24"/>
        </w:rPr>
        <w:t>226,000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the Industrial</w:t>
      </w:r>
      <w:r w:rsidRPr="00E81855">
        <w:rPr>
          <w:rFonts w:ascii="Times New Roman" w:hAnsi="Times New Roman"/>
          <w:sz w:val="24"/>
        </w:rPr>
        <w:t xml:space="preserve"> Convertible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Bonds had been converted into A Shares of the </w:t>
      </w:r>
      <w:r>
        <w:rPr>
          <w:rFonts w:ascii="Times New Roman" w:hAnsi="Times New Roman"/>
          <w:sz w:val="24"/>
        </w:rPr>
        <w:t>Company b</w:t>
      </w:r>
      <w:r>
        <w:rPr>
          <w:rFonts w:ascii="Times New Roman" w:hAnsi="Times New Roman" w:hint="eastAsia"/>
          <w:sz w:val="24"/>
        </w:rPr>
        <w:t>etwee</w:t>
      </w:r>
      <w:r>
        <w:rPr>
          <w:rFonts w:ascii="Times New Roman" w:hAnsi="Times New Roman"/>
          <w:sz w:val="24"/>
        </w:rPr>
        <w:t>n October 1 and December 31, 2022,</w:t>
      </w:r>
      <w:r w:rsidRPr="00E81855">
        <w:rPr>
          <w:rFonts w:ascii="Times New Roman" w:hAnsi="Times New Roman"/>
          <w:sz w:val="24"/>
        </w:rPr>
        <w:t xml:space="preserve"> and </w:t>
      </w:r>
      <w:r w:rsidRPr="002A56C6">
        <w:rPr>
          <w:rFonts w:ascii="Times New Roman" w:hAnsi="Times New Roman"/>
          <w:sz w:val="24"/>
        </w:rPr>
        <w:t xml:space="preserve">the number of shares created upon conversion was </w:t>
      </w:r>
      <w:r w:rsidRPr="00D373AD">
        <w:rPr>
          <w:rFonts w:ascii="Times New Roman" w:hAnsi="Times New Roman"/>
          <w:sz w:val="24"/>
        </w:rPr>
        <w:t>9,155</w:t>
      </w:r>
      <w:r>
        <w:rPr>
          <w:rFonts w:ascii="Times New Roman" w:hAnsi="Times New Roman"/>
          <w:sz w:val="24"/>
        </w:rPr>
        <w:t xml:space="preserve">. As of </w:t>
      </w:r>
      <w:r w:rsidRPr="00D373AD">
        <w:rPr>
          <w:rFonts w:ascii="Times New Roman" w:hAnsi="Times New Roman"/>
          <w:sz w:val="24"/>
        </w:rPr>
        <w:t>December 31, 2022</w:t>
      </w:r>
      <w:r>
        <w:rPr>
          <w:rFonts w:ascii="Times New Roman" w:hAnsi="Times New Roman"/>
          <w:sz w:val="24"/>
        </w:rPr>
        <w:t>,</w:t>
      </w:r>
      <w:r w:rsidRPr="002A56C6"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converted Industrial </w:t>
      </w:r>
      <w:r w:rsidRPr="00E81855">
        <w:rPr>
          <w:rFonts w:ascii="Times New Roman" w:hAnsi="Times New Roman"/>
          <w:sz w:val="24"/>
        </w:rPr>
        <w:t xml:space="preserve">Convertible Bonds </w:t>
      </w:r>
      <w:r>
        <w:rPr>
          <w:rFonts w:ascii="Times New Roman" w:hAnsi="Times New Roman"/>
          <w:sz w:val="24"/>
        </w:rPr>
        <w:t xml:space="preserve">had amounted to RMB </w:t>
      </w:r>
      <w:r w:rsidR="00944527" w:rsidRPr="00D373AD">
        <w:rPr>
          <w:rFonts w:ascii="Times New Roman" w:hAnsi="Times New Roman"/>
          <w:sz w:val="24"/>
        </w:rPr>
        <w:t xml:space="preserve">1,536,000 </w:t>
      </w:r>
      <w:r w:rsidR="00944527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 w:rsidRPr="00E7374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number of </w:t>
      </w:r>
      <w:r w:rsidRPr="00E7374B">
        <w:rPr>
          <w:rFonts w:ascii="Times New Roman" w:hAnsi="Times New Roman"/>
          <w:sz w:val="24"/>
        </w:rPr>
        <w:t xml:space="preserve">accumulated shares converted from the Industrial Convertible Bonds </w:t>
      </w:r>
      <w:r w:rsidRPr="00E81855">
        <w:rPr>
          <w:rFonts w:ascii="Times New Roman" w:hAnsi="Times New Roman"/>
          <w:sz w:val="24"/>
        </w:rPr>
        <w:t xml:space="preserve">was </w:t>
      </w:r>
      <w:r w:rsidRPr="00D373AD">
        <w:rPr>
          <w:rFonts w:ascii="Times New Roman" w:hAnsi="Times New Roman"/>
          <w:sz w:val="24"/>
        </w:rPr>
        <w:t>62,177</w:t>
      </w:r>
      <w:r w:rsidRPr="00E81855">
        <w:rPr>
          <w:rFonts w:ascii="Times New Roman" w:hAnsi="Times New Roman"/>
          <w:sz w:val="24"/>
        </w:rPr>
        <w:t xml:space="preserve">, representing </w:t>
      </w:r>
      <w:r w:rsidRPr="00D373AD">
        <w:rPr>
          <w:rFonts w:ascii="Times New Roman" w:hAnsi="Times New Roman"/>
          <w:sz w:val="24"/>
        </w:rPr>
        <w:t>0.00030%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>of the total issued</w:t>
      </w:r>
      <w:r>
        <w:rPr>
          <w:rFonts w:ascii="Times New Roman" w:hAnsi="Times New Roman"/>
          <w:sz w:val="24"/>
        </w:rPr>
        <w:t xml:space="preserve"> </w:t>
      </w:r>
      <w:r w:rsidRPr="00E81855">
        <w:rPr>
          <w:rFonts w:ascii="Times New Roman" w:hAnsi="Times New Roman"/>
          <w:sz w:val="24"/>
        </w:rPr>
        <w:t xml:space="preserve">ordinary shares of the </w:t>
      </w:r>
      <w:r>
        <w:rPr>
          <w:rFonts w:ascii="Times New Roman" w:hAnsi="Times New Roman"/>
          <w:sz w:val="24"/>
        </w:rPr>
        <w:t>Company</w:t>
      </w:r>
      <w:r w:rsidRPr="00E81855">
        <w:rPr>
          <w:rFonts w:ascii="Times New Roman" w:hAnsi="Times New Roman"/>
          <w:sz w:val="24"/>
        </w:rPr>
        <w:t xml:space="preserve"> before the conversion of the </w:t>
      </w:r>
      <w:r>
        <w:rPr>
          <w:rFonts w:ascii="Times New Roman" w:hAnsi="Times New Roman"/>
          <w:sz w:val="24"/>
        </w:rPr>
        <w:t xml:space="preserve">Industrial </w:t>
      </w:r>
      <w:r w:rsidRPr="00E81855">
        <w:rPr>
          <w:rFonts w:ascii="Times New Roman" w:hAnsi="Times New Roman"/>
          <w:sz w:val="24"/>
        </w:rPr>
        <w:t>Convertible Bonds.</w:t>
      </w:r>
    </w:p>
    <w:p w14:paraId="0236441C" w14:textId="26A18FEC" w:rsidR="00D373AD" w:rsidRPr="00D373AD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D373AD">
        <w:rPr>
          <w:rFonts w:ascii="Times New Roman" w:hAnsi="Times New Roman"/>
          <w:sz w:val="24"/>
        </w:rPr>
        <w:t>As of December 31, 2022, the unconverted Industrial Convertible Bonds amounted to RMB49,998,464,000, which accounted for 99.99693%</w:t>
      </w:r>
      <w:r>
        <w:rPr>
          <w:rFonts w:ascii="Times New Roman" w:hAnsi="Times New Roman"/>
          <w:sz w:val="24"/>
        </w:rPr>
        <w:t xml:space="preserve"> </w:t>
      </w:r>
      <w:r w:rsidRPr="00D373AD">
        <w:rPr>
          <w:rFonts w:ascii="Times New Roman" w:hAnsi="Times New Roman"/>
          <w:sz w:val="24"/>
        </w:rPr>
        <w:t>of the total issued Industrial Convertible Bonds.</w:t>
      </w:r>
    </w:p>
    <w:p w14:paraId="4E2AC690" w14:textId="77777777" w:rsidR="00D373AD" w:rsidRPr="00D373AD" w:rsidRDefault="00D373AD">
      <w:pPr>
        <w:pStyle w:val="a3"/>
        <w:spacing w:before="3" w:line="364" w:lineRule="auto"/>
        <w:ind w:right="237" w:firstLine="479"/>
        <w:jc w:val="both"/>
        <w:rPr>
          <w:rFonts w:ascii="Times New Roman" w:hAnsi="Times New Roman" w:cs="Times New Roman"/>
        </w:rPr>
      </w:pPr>
    </w:p>
    <w:p w14:paraId="604F5F0D" w14:textId="77777777" w:rsidR="00E11470" w:rsidRPr="008D787A" w:rsidRDefault="00000000">
      <w:pPr>
        <w:pStyle w:val="a3"/>
        <w:spacing w:before="1"/>
        <w:ind w:left="701"/>
        <w:rPr>
          <w:rFonts w:ascii="Times New Roman" w:hAnsi="Times New Roman" w:cs="Times New Roman"/>
        </w:rPr>
      </w:pPr>
      <w:r w:rsidRPr="008D787A">
        <w:rPr>
          <w:rFonts w:ascii="Times New Roman" w:hAnsi="Times New Roman" w:cs="Times New Roman"/>
        </w:rPr>
        <w:t xml:space="preserve"> </w:t>
      </w:r>
    </w:p>
    <w:p w14:paraId="49C23A2F" w14:textId="77777777" w:rsidR="00D373AD" w:rsidRPr="00153FF6" w:rsidRDefault="00D373AD" w:rsidP="00D373AD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AF326F">
        <w:rPr>
          <w:rFonts w:ascii="Times New Roman" w:hAnsi="Times New Roman"/>
          <w:b/>
          <w:bCs/>
          <w:sz w:val="24"/>
        </w:rPr>
        <w:t>III. Changes in the Share Capital</w:t>
      </w:r>
    </w:p>
    <w:p w14:paraId="3B3EEB13" w14:textId="77777777" w:rsidR="00D373AD" w:rsidRDefault="00D373AD" w:rsidP="00D373AD">
      <w:pPr>
        <w:spacing w:line="360" w:lineRule="auto"/>
        <w:ind w:firstLineChars="200" w:firstLine="482"/>
        <w:rPr>
          <w:b/>
          <w:bCs/>
          <w:sz w:val="24"/>
        </w:rPr>
      </w:pPr>
    </w:p>
    <w:p w14:paraId="77CD151C" w14:textId="77777777" w:rsidR="00D373AD" w:rsidRDefault="00D373AD" w:rsidP="00D373AD">
      <w:pPr>
        <w:spacing w:line="360" w:lineRule="auto"/>
        <w:ind w:firstLineChars="200" w:firstLine="440"/>
        <w:jc w:val="right"/>
        <w:rPr>
          <w:szCs w:val="20"/>
        </w:rPr>
      </w:pPr>
      <w:r>
        <w:rPr>
          <w:rFonts w:ascii="Times New Roman" w:hAnsi="Times New Roman" w:hint="eastAsia"/>
          <w:szCs w:val="20"/>
        </w:rPr>
        <w:t>U</w:t>
      </w:r>
      <w:r>
        <w:rPr>
          <w:rFonts w:ascii="Times New Roman" w:hAnsi="Times New Roman"/>
          <w:szCs w:val="20"/>
        </w:rPr>
        <w:t xml:space="preserve">nit: Share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D373AD" w14:paraId="2F051C11" w14:textId="77777777" w:rsidTr="00FF50C0">
        <w:tc>
          <w:tcPr>
            <w:tcW w:w="2180" w:type="dxa"/>
            <w:vAlign w:val="center"/>
          </w:tcPr>
          <w:p w14:paraId="11AFD1E1" w14:textId="77777777" w:rsidR="00D373AD" w:rsidRDefault="00D373AD" w:rsidP="00FF50C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Cs w:val="20"/>
              </w:rPr>
              <w:t>lass of Shares</w:t>
            </w:r>
          </w:p>
        </w:tc>
        <w:tc>
          <w:tcPr>
            <w:tcW w:w="2180" w:type="dxa"/>
            <w:vAlign w:val="center"/>
          </w:tcPr>
          <w:p w14:paraId="21135E36" w14:textId="77777777" w:rsidR="00D373AD" w:rsidRPr="00153FF6" w:rsidRDefault="00D373AD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Cs w:val="20"/>
              </w:rPr>
              <w:t>efore the Changes</w:t>
            </w:r>
          </w:p>
          <w:p w14:paraId="7F11FD4D" w14:textId="6598E35B" w:rsidR="00D373AD" w:rsidRDefault="00D373AD" w:rsidP="00FF50C0">
            <w:pPr>
              <w:jc w:val="center"/>
              <w:rPr>
                <w:b/>
                <w:bCs/>
                <w:szCs w:val="20"/>
              </w:rPr>
            </w:pPr>
            <w:r w:rsidRPr="00153FF6">
              <w:rPr>
                <w:rFonts w:ascii="Times New Roman" w:hAnsi="Times New Roman"/>
                <w:b/>
                <w:bCs/>
                <w:szCs w:val="20"/>
              </w:rPr>
              <w:t>（</w:t>
            </w:r>
            <w:r>
              <w:rPr>
                <w:rFonts w:ascii="Times New Roman" w:hAnsi="Times New Roman"/>
                <w:b/>
                <w:bCs/>
                <w:szCs w:val="20"/>
              </w:rPr>
              <w:t>September 30, 2022</w:t>
            </w:r>
            <w:r w:rsidRPr="00153FF6">
              <w:rPr>
                <w:rFonts w:ascii="Times New Roman" w:hAnsi="Times New Roman"/>
                <w:b/>
                <w:bCs/>
                <w:szCs w:val="20"/>
              </w:rPr>
              <w:t>）</w:t>
            </w:r>
          </w:p>
        </w:tc>
        <w:tc>
          <w:tcPr>
            <w:tcW w:w="2180" w:type="dxa"/>
            <w:vAlign w:val="center"/>
          </w:tcPr>
          <w:p w14:paraId="702F824F" w14:textId="77777777" w:rsidR="00D373AD" w:rsidRPr="000219F5" w:rsidRDefault="00D373AD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Conversion of</w:t>
            </w:r>
          </w:p>
          <w:p w14:paraId="69A6FCF8" w14:textId="77777777" w:rsidR="00D373AD" w:rsidRPr="000219F5" w:rsidRDefault="00D373AD" w:rsidP="00FF50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Convertible</w:t>
            </w:r>
          </w:p>
          <w:p w14:paraId="4643A211" w14:textId="77777777" w:rsidR="00D373AD" w:rsidRDefault="00D373AD" w:rsidP="00FF50C0">
            <w:pPr>
              <w:jc w:val="center"/>
              <w:rPr>
                <w:b/>
                <w:bCs/>
                <w:szCs w:val="20"/>
              </w:rPr>
            </w:pPr>
            <w:r w:rsidRPr="000219F5">
              <w:rPr>
                <w:rFonts w:ascii="Times New Roman" w:hAnsi="Times New Roman"/>
                <w:b/>
                <w:bCs/>
                <w:szCs w:val="20"/>
              </w:rPr>
              <w:t>Bond</w:t>
            </w:r>
            <w:r>
              <w:rPr>
                <w:rFonts w:ascii="Times New Roman" w:hAnsi="Times New Roman"/>
                <w:b/>
                <w:bCs/>
                <w:szCs w:val="20"/>
              </w:rPr>
              <w:t>s</w:t>
            </w:r>
          </w:p>
        </w:tc>
        <w:tc>
          <w:tcPr>
            <w:tcW w:w="2180" w:type="dxa"/>
            <w:vAlign w:val="center"/>
          </w:tcPr>
          <w:p w14:paraId="2BAD3633" w14:textId="1FE3EF97" w:rsidR="00D373AD" w:rsidRDefault="00D373AD" w:rsidP="00FF50C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Cs w:val="20"/>
              </w:rPr>
              <w:t>fter the Changes (December 31, 2022)</w:t>
            </w:r>
          </w:p>
        </w:tc>
      </w:tr>
      <w:tr w:rsidR="00D373AD" w14:paraId="187D9E4C" w14:textId="77777777" w:rsidTr="00FF50C0">
        <w:tc>
          <w:tcPr>
            <w:tcW w:w="2180" w:type="dxa"/>
          </w:tcPr>
          <w:p w14:paraId="72129456" w14:textId="77777777" w:rsidR="00D373AD" w:rsidRDefault="00D373AD" w:rsidP="00FF50C0">
            <w:pPr>
              <w:rPr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>estricted outstanding shares</w:t>
            </w:r>
          </w:p>
        </w:tc>
        <w:tc>
          <w:tcPr>
            <w:tcW w:w="2180" w:type="dxa"/>
          </w:tcPr>
          <w:p w14:paraId="4DD1911E" w14:textId="77777777" w:rsidR="00D373AD" w:rsidRDefault="00D373AD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7BB8F8B2" w14:textId="77777777" w:rsidR="00D373AD" w:rsidRDefault="00D373AD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2180" w:type="dxa"/>
          </w:tcPr>
          <w:p w14:paraId="0229CBD7" w14:textId="77777777" w:rsidR="00D373AD" w:rsidRDefault="00D373AD" w:rsidP="00FF50C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</w:tr>
      <w:tr w:rsidR="00D373AD" w14:paraId="2C3F9EB1" w14:textId="77777777" w:rsidTr="00FF50C0">
        <w:tc>
          <w:tcPr>
            <w:tcW w:w="2180" w:type="dxa"/>
          </w:tcPr>
          <w:p w14:paraId="262E7D04" w14:textId="77777777" w:rsidR="00D373AD" w:rsidRDefault="00D373AD" w:rsidP="00FF50C0">
            <w:pPr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Unrestricted outstanding shares</w:t>
            </w:r>
          </w:p>
        </w:tc>
        <w:tc>
          <w:tcPr>
            <w:tcW w:w="2180" w:type="dxa"/>
          </w:tcPr>
          <w:p w14:paraId="607EBDCB" w14:textId="5C479D70" w:rsidR="00D373AD" w:rsidRDefault="00D373AD" w:rsidP="00FF50C0">
            <w:pPr>
              <w:jc w:val="right"/>
              <w:rPr>
                <w:szCs w:val="20"/>
              </w:rPr>
            </w:pPr>
            <w:r w:rsidRPr="00D373AD">
              <w:rPr>
                <w:bCs/>
                <w:szCs w:val="20"/>
              </w:rPr>
              <w:t>20,774,243,773</w:t>
            </w:r>
          </w:p>
        </w:tc>
        <w:tc>
          <w:tcPr>
            <w:tcW w:w="2180" w:type="dxa"/>
          </w:tcPr>
          <w:p w14:paraId="79440F8D" w14:textId="2813DE3F" w:rsidR="00D373AD" w:rsidRDefault="00D373AD" w:rsidP="00FF50C0">
            <w:pPr>
              <w:jc w:val="right"/>
              <w:rPr>
                <w:szCs w:val="20"/>
              </w:rPr>
            </w:pPr>
            <w:r w:rsidRPr="00D373AD">
              <w:rPr>
                <w:bCs/>
                <w:szCs w:val="20"/>
              </w:rPr>
              <w:t>9,155</w:t>
            </w:r>
          </w:p>
        </w:tc>
        <w:tc>
          <w:tcPr>
            <w:tcW w:w="2180" w:type="dxa"/>
          </w:tcPr>
          <w:p w14:paraId="43158943" w14:textId="5249713A" w:rsidR="00D373AD" w:rsidRDefault="00D373AD" w:rsidP="00FF50C0">
            <w:pPr>
              <w:jc w:val="right"/>
              <w:rPr>
                <w:szCs w:val="20"/>
              </w:rPr>
            </w:pPr>
            <w:r w:rsidRPr="00D373AD">
              <w:rPr>
                <w:bCs/>
                <w:szCs w:val="20"/>
              </w:rPr>
              <w:t>20,774,252,928</w:t>
            </w:r>
          </w:p>
        </w:tc>
      </w:tr>
      <w:tr w:rsidR="00D373AD" w14:paraId="27E0C5B1" w14:textId="77777777" w:rsidTr="00FF50C0">
        <w:tc>
          <w:tcPr>
            <w:tcW w:w="2180" w:type="dxa"/>
          </w:tcPr>
          <w:p w14:paraId="1FB7AD7E" w14:textId="77777777" w:rsidR="00D373AD" w:rsidRDefault="00D373AD" w:rsidP="00FF50C0">
            <w:pPr>
              <w:rPr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Total share capital</w:t>
            </w:r>
          </w:p>
        </w:tc>
        <w:tc>
          <w:tcPr>
            <w:tcW w:w="2180" w:type="dxa"/>
          </w:tcPr>
          <w:p w14:paraId="64876F4C" w14:textId="65079248" w:rsidR="00D373AD" w:rsidRDefault="00D373AD" w:rsidP="00FF50C0">
            <w:pPr>
              <w:jc w:val="right"/>
              <w:rPr>
                <w:b/>
                <w:bCs/>
                <w:szCs w:val="20"/>
              </w:rPr>
            </w:pPr>
            <w:r w:rsidRPr="00D373AD">
              <w:rPr>
                <w:b/>
                <w:bCs/>
                <w:szCs w:val="20"/>
              </w:rPr>
              <w:t>20,774,243,773</w:t>
            </w:r>
          </w:p>
        </w:tc>
        <w:tc>
          <w:tcPr>
            <w:tcW w:w="2180" w:type="dxa"/>
          </w:tcPr>
          <w:p w14:paraId="3AC59D1D" w14:textId="201093DD" w:rsidR="00D373AD" w:rsidRDefault="00D373AD" w:rsidP="00FF50C0">
            <w:pPr>
              <w:jc w:val="right"/>
              <w:rPr>
                <w:b/>
                <w:bCs/>
                <w:szCs w:val="20"/>
              </w:rPr>
            </w:pPr>
            <w:r w:rsidRPr="00D373AD">
              <w:rPr>
                <w:b/>
                <w:bCs/>
                <w:szCs w:val="20"/>
              </w:rPr>
              <w:t>9,155</w:t>
            </w:r>
          </w:p>
        </w:tc>
        <w:tc>
          <w:tcPr>
            <w:tcW w:w="2180" w:type="dxa"/>
          </w:tcPr>
          <w:p w14:paraId="4A292798" w14:textId="20FA5906" w:rsidR="00D373AD" w:rsidRDefault="00D373AD" w:rsidP="00FF50C0">
            <w:pPr>
              <w:jc w:val="right"/>
              <w:rPr>
                <w:b/>
                <w:bCs/>
                <w:szCs w:val="20"/>
              </w:rPr>
            </w:pPr>
            <w:r w:rsidRPr="00D373AD">
              <w:rPr>
                <w:b/>
                <w:bCs/>
                <w:szCs w:val="20"/>
              </w:rPr>
              <w:t>20,774,252,928</w:t>
            </w:r>
          </w:p>
        </w:tc>
      </w:tr>
    </w:tbl>
    <w:p w14:paraId="750CD81C" w14:textId="77777777" w:rsidR="00D373AD" w:rsidRDefault="00D373AD" w:rsidP="00D373AD">
      <w:pPr>
        <w:spacing w:line="360" w:lineRule="auto"/>
        <w:ind w:firstLineChars="200" w:firstLine="482"/>
        <w:rPr>
          <w:b/>
          <w:bCs/>
          <w:sz w:val="24"/>
        </w:rPr>
      </w:pPr>
    </w:p>
    <w:p w14:paraId="0541448E" w14:textId="77777777" w:rsidR="00D373AD" w:rsidRDefault="00D373AD">
      <w:pPr>
        <w:spacing w:before="27"/>
        <w:ind w:left="704"/>
        <w:rPr>
          <w:rFonts w:ascii="Times New Roman" w:eastAsia="Microsoft JhengHei" w:hAnsi="Times New Roman" w:cs="Times New Roman"/>
          <w:b/>
          <w:sz w:val="24"/>
        </w:rPr>
      </w:pPr>
    </w:p>
    <w:p w14:paraId="6DE79B04" w14:textId="19513134" w:rsidR="00D373AD" w:rsidRDefault="00000000" w:rsidP="00D373AD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8D787A">
        <w:rPr>
          <w:rFonts w:ascii="Times New Roman" w:hAnsi="Times New Roman" w:cs="Times New Roman"/>
        </w:rPr>
        <w:t xml:space="preserve"> </w:t>
      </w:r>
    </w:p>
    <w:p w14:paraId="06AE39E1" w14:textId="30C76E84" w:rsidR="00D373AD" w:rsidRPr="00381E85" w:rsidRDefault="00D373AD" w:rsidP="00D373AD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381E85">
        <w:rPr>
          <w:rFonts w:ascii="Times New Roman" w:hAnsi="Times New Roman"/>
          <w:b/>
          <w:bCs/>
          <w:sz w:val="24"/>
        </w:rPr>
        <w:t>IV. Others</w:t>
      </w:r>
    </w:p>
    <w:p w14:paraId="64EF0E14" w14:textId="77777777" w:rsidR="00D373AD" w:rsidRDefault="00D373AD" w:rsidP="00D373AD">
      <w:pPr>
        <w:spacing w:line="360" w:lineRule="auto"/>
        <w:ind w:firstLineChars="200" w:firstLine="482"/>
        <w:rPr>
          <w:b/>
          <w:bCs/>
          <w:sz w:val="24"/>
        </w:rPr>
      </w:pPr>
    </w:p>
    <w:p w14:paraId="41FC0EF3" w14:textId="77777777" w:rsidR="00D373AD" w:rsidRPr="00EE414C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Department: Office of the Board of </w:t>
      </w:r>
      <w:r>
        <w:rPr>
          <w:rFonts w:ascii="Times New Roman" w:hAnsi="Times New Roman"/>
          <w:sz w:val="24"/>
        </w:rPr>
        <w:t xml:space="preserve">Directors of </w:t>
      </w:r>
      <w:r w:rsidRPr="00EE414C">
        <w:rPr>
          <w:rFonts w:ascii="Times New Roman" w:hAnsi="Times New Roman"/>
          <w:sz w:val="24"/>
        </w:rPr>
        <w:t>Industrial Bank</w:t>
      </w:r>
    </w:p>
    <w:p w14:paraId="7DD65983" w14:textId="77777777" w:rsidR="00D373AD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E414C">
        <w:rPr>
          <w:rFonts w:ascii="Times New Roman" w:hAnsi="Times New Roman"/>
          <w:sz w:val="24"/>
        </w:rPr>
        <w:t xml:space="preserve">Contact Number: </w:t>
      </w:r>
      <w:r w:rsidRPr="00153FF6">
        <w:rPr>
          <w:rFonts w:ascii="Times New Roman" w:hAnsi="Times New Roman"/>
          <w:sz w:val="24"/>
        </w:rPr>
        <w:t>0591-87824863</w:t>
      </w:r>
    </w:p>
    <w:p w14:paraId="2335039B" w14:textId="77777777" w:rsidR="00D373AD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14:paraId="43D82574" w14:textId="77777777" w:rsidR="00D373AD" w:rsidRPr="00153FF6" w:rsidRDefault="00D373AD" w:rsidP="00D373AD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hereby a</w:t>
      </w:r>
      <w:r w:rsidRPr="00EE414C">
        <w:rPr>
          <w:rFonts w:ascii="Times New Roman" w:hAnsi="Times New Roman"/>
          <w:sz w:val="24"/>
        </w:rPr>
        <w:t>nnounced.</w:t>
      </w:r>
    </w:p>
    <w:p w14:paraId="700868F2" w14:textId="5621AC4E" w:rsidR="00E11470" w:rsidRPr="008D787A" w:rsidRDefault="00E11470">
      <w:pPr>
        <w:pStyle w:val="a3"/>
        <w:spacing w:before="1"/>
        <w:ind w:left="701"/>
        <w:rPr>
          <w:rFonts w:ascii="Times New Roman" w:hAnsi="Times New Roman" w:cs="Times New Roman"/>
        </w:rPr>
      </w:pPr>
    </w:p>
    <w:p w14:paraId="0DAEFD49" w14:textId="77777777" w:rsidR="00E11470" w:rsidRPr="008D787A" w:rsidRDefault="00E11470">
      <w:pPr>
        <w:pStyle w:val="a3"/>
        <w:spacing w:before="0"/>
        <w:ind w:left="0"/>
        <w:rPr>
          <w:rFonts w:ascii="Times New Roman" w:hAnsi="Times New Roman" w:cs="Times New Roman"/>
        </w:rPr>
      </w:pPr>
    </w:p>
    <w:p w14:paraId="4F98F722" w14:textId="77777777" w:rsidR="00D373AD" w:rsidRPr="00381E85" w:rsidRDefault="00D373AD" w:rsidP="00D373AD">
      <w:pPr>
        <w:spacing w:line="360" w:lineRule="auto"/>
        <w:ind w:right="240" w:firstLineChars="200" w:firstLine="480"/>
        <w:jc w:val="right"/>
        <w:rPr>
          <w:rFonts w:ascii="Times New Roman" w:hAnsi="Times New Roman"/>
          <w:sz w:val="24"/>
        </w:rPr>
      </w:pPr>
      <w:r w:rsidRPr="00381E85">
        <w:rPr>
          <w:rFonts w:ascii="Times New Roman" w:hAnsi="Times New Roman"/>
          <w:sz w:val="24"/>
        </w:rPr>
        <w:t>Board of Directors of Industrial Bank Co., Ltd.</w:t>
      </w:r>
    </w:p>
    <w:p w14:paraId="7248029B" w14:textId="110BEE0C" w:rsidR="00D373AD" w:rsidRPr="008D787A" w:rsidRDefault="00D373AD" w:rsidP="00D373AD">
      <w:pPr>
        <w:pStyle w:val="a3"/>
        <w:spacing w:before="214" w:line="364" w:lineRule="auto"/>
        <w:ind w:leftChars="50" w:left="110" w:right="238" w:firstLineChars="2900" w:firstLine="6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>anuary 3, 2023</w:t>
      </w:r>
    </w:p>
    <w:sectPr w:rsidR="00D373AD" w:rsidRPr="008D787A">
      <w:footerReference w:type="default" r:id="rId7"/>
      <w:pgSz w:w="11910" w:h="16840"/>
      <w:pgMar w:top="1460" w:right="1460" w:bottom="1220" w:left="14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87A0" w14:textId="77777777" w:rsidR="00333FE9" w:rsidRDefault="00333FE9">
      <w:r>
        <w:separator/>
      </w:r>
    </w:p>
  </w:endnote>
  <w:endnote w:type="continuationSeparator" w:id="0">
    <w:p w14:paraId="2D019333" w14:textId="77777777" w:rsidR="00333FE9" w:rsidRDefault="003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DA0D" w14:textId="77777777" w:rsidR="00E11470" w:rsidRDefault="00F80982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860C58">
              <wp:simplePos x="0" y="0"/>
              <wp:positionH relativeFrom="page">
                <wp:posOffset>3708400</wp:posOffset>
              </wp:positionH>
              <wp:positionV relativeFrom="page">
                <wp:posOffset>9898380</wp:posOffset>
              </wp:positionV>
              <wp:extent cx="143510" cy="173990"/>
              <wp:effectExtent l="0" t="0" r="8890" b="3810"/>
              <wp:wrapNone/>
              <wp:docPr id="15348136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5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23D28" w14:textId="77777777" w:rsidR="00E11470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60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79.4pt;width:11.3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" filled="f" stroked="f">
              <v:path arrowok="t"/>
              <v:textbox inset="0,0,0,0">
                <w:txbxContent>
                  <w:p w14:paraId="2D723D28" w14:textId="77777777" w:rsidR="00E11470" w:rsidRDefault="00000000">
                    <w:pPr>
                      <w:spacing w:before="12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9E4" w14:textId="77777777" w:rsidR="00333FE9" w:rsidRDefault="00333FE9">
      <w:r>
        <w:separator/>
      </w:r>
    </w:p>
  </w:footnote>
  <w:footnote w:type="continuationSeparator" w:id="0">
    <w:p w14:paraId="0EF47E5C" w14:textId="77777777" w:rsidR="00333FE9" w:rsidRDefault="0033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7EF7"/>
    <w:multiLevelType w:val="hybridMultilevel"/>
    <w:tmpl w:val="3BBC0FA6"/>
    <w:lvl w:ilvl="0" w:tplc="BAB2B016">
      <w:numFmt w:val="bullet"/>
      <w:lvlText w:val="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ECC00DDC">
      <w:numFmt w:val="bullet"/>
      <w:lvlText w:val="•"/>
      <w:lvlJc w:val="left"/>
      <w:pPr>
        <w:ind w:left="1904" w:hanging="360"/>
      </w:pPr>
      <w:rPr>
        <w:rFonts w:hint="default"/>
        <w:lang w:val="en-US" w:eastAsia="zh-CN" w:bidi="ar-SA"/>
      </w:rPr>
    </w:lvl>
    <w:lvl w:ilvl="2" w:tplc="2E1A20B2">
      <w:numFmt w:val="bullet"/>
      <w:lvlText w:val="•"/>
      <w:lvlJc w:val="left"/>
      <w:pPr>
        <w:ind w:left="2689" w:hanging="360"/>
      </w:pPr>
      <w:rPr>
        <w:rFonts w:hint="default"/>
        <w:lang w:val="en-US" w:eastAsia="zh-CN" w:bidi="ar-SA"/>
      </w:rPr>
    </w:lvl>
    <w:lvl w:ilvl="3" w:tplc="BA887074">
      <w:numFmt w:val="bullet"/>
      <w:lvlText w:val="•"/>
      <w:lvlJc w:val="left"/>
      <w:pPr>
        <w:ind w:left="3473" w:hanging="360"/>
      </w:pPr>
      <w:rPr>
        <w:rFonts w:hint="default"/>
        <w:lang w:val="en-US" w:eastAsia="zh-CN" w:bidi="ar-SA"/>
      </w:rPr>
    </w:lvl>
    <w:lvl w:ilvl="4" w:tplc="7736E24C">
      <w:numFmt w:val="bullet"/>
      <w:lvlText w:val="•"/>
      <w:lvlJc w:val="left"/>
      <w:pPr>
        <w:ind w:left="4258" w:hanging="360"/>
      </w:pPr>
      <w:rPr>
        <w:rFonts w:hint="default"/>
        <w:lang w:val="en-US" w:eastAsia="zh-CN" w:bidi="ar-SA"/>
      </w:rPr>
    </w:lvl>
    <w:lvl w:ilvl="5" w:tplc="202CBD88">
      <w:numFmt w:val="bullet"/>
      <w:lvlText w:val="•"/>
      <w:lvlJc w:val="left"/>
      <w:pPr>
        <w:ind w:left="5043" w:hanging="360"/>
      </w:pPr>
      <w:rPr>
        <w:rFonts w:hint="default"/>
        <w:lang w:val="en-US" w:eastAsia="zh-CN" w:bidi="ar-SA"/>
      </w:rPr>
    </w:lvl>
    <w:lvl w:ilvl="6" w:tplc="9396589C">
      <w:numFmt w:val="bullet"/>
      <w:lvlText w:val="•"/>
      <w:lvlJc w:val="left"/>
      <w:pPr>
        <w:ind w:left="5827" w:hanging="360"/>
      </w:pPr>
      <w:rPr>
        <w:rFonts w:hint="default"/>
        <w:lang w:val="en-US" w:eastAsia="zh-CN" w:bidi="ar-SA"/>
      </w:rPr>
    </w:lvl>
    <w:lvl w:ilvl="7" w:tplc="F1D04708">
      <w:numFmt w:val="bullet"/>
      <w:lvlText w:val="•"/>
      <w:lvlJc w:val="left"/>
      <w:pPr>
        <w:ind w:left="6612" w:hanging="360"/>
      </w:pPr>
      <w:rPr>
        <w:rFonts w:hint="default"/>
        <w:lang w:val="en-US" w:eastAsia="zh-CN" w:bidi="ar-SA"/>
      </w:rPr>
    </w:lvl>
    <w:lvl w:ilvl="8" w:tplc="4B961D9A">
      <w:numFmt w:val="bullet"/>
      <w:lvlText w:val="•"/>
      <w:lvlJc w:val="left"/>
      <w:pPr>
        <w:ind w:left="7397" w:hanging="360"/>
      </w:pPr>
      <w:rPr>
        <w:rFonts w:hint="default"/>
        <w:lang w:val="en-US" w:eastAsia="zh-CN" w:bidi="ar-SA"/>
      </w:rPr>
    </w:lvl>
  </w:abstractNum>
  <w:abstractNum w:abstractNumId="1" w15:restartNumberingAfterBreak="0">
    <w:nsid w:val="7E740605"/>
    <w:multiLevelType w:val="hybridMultilevel"/>
    <w:tmpl w:val="5552AEBE"/>
    <w:lvl w:ilvl="0" w:tplc="04090001">
      <w:start w:val="1"/>
      <w:numFmt w:val="bullet"/>
      <w:lvlText w:val=""/>
      <w:lvlJc w:val="left"/>
      <w:pPr>
        <w:ind w:left="1206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40"/>
      </w:pPr>
      <w:rPr>
        <w:rFonts w:ascii="Wingdings" w:hAnsi="Wingdings" w:hint="default"/>
      </w:rPr>
    </w:lvl>
  </w:abstractNum>
  <w:num w:numId="1" w16cid:durableId="1147821211">
    <w:abstractNumId w:val="0"/>
  </w:num>
  <w:num w:numId="2" w16cid:durableId="38838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70"/>
    <w:rsid w:val="002E51A8"/>
    <w:rsid w:val="00333FE9"/>
    <w:rsid w:val="00512D5A"/>
    <w:rsid w:val="008D787A"/>
    <w:rsid w:val="00927318"/>
    <w:rsid w:val="00944527"/>
    <w:rsid w:val="00B77E5D"/>
    <w:rsid w:val="00D373AD"/>
    <w:rsid w:val="00E11470"/>
    <w:rsid w:val="00E84EA2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08C31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7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20" w:lineRule="exact"/>
      <w:ind w:left="711" w:right="73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8"/>
      <w:ind w:left="1121" w:hanging="420"/>
    </w:pPr>
  </w:style>
  <w:style w:type="paragraph" w:customStyle="1" w:styleId="TableParagraph">
    <w:name w:val="Table Paragraph"/>
    <w:basedOn w:val="a"/>
    <w:uiPriority w:val="1"/>
    <w:qFormat/>
    <w:pPr>
      <w:ind w:right="-15"/>
      <w:jc w:val="right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证券简称:兴业银行          证券代码:601166         编号:临2011-25</dc:title>
  <dc:creator>魏玮</dc:creator>
  <cp:lastModifiedBy>Cindy Luo</cp:lastModifiedBy>
  <cp:revision>2</cp:revision>
  <dcterms:created xsi:type="dcterms:W3CDTF">2023-05-16T07:25:00Z</dcterms:created>
  <dcterms:modified xsi:type="dcterms:W3CDTF">2023-05-16T07:25:00Z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