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31BF" w14:textId="3846A50B" w:rsidR="00545F27" w:rsidRPr="008A67C3" w:rsidRDefault="00545F27" w:rsidP="00545F27">
      <w:pPr>
        <w:spacing w:before="15" w:line="244" w:lineRule="auto"/>
        <w:ind w:left="102" w:right="314"/>
        <w:rPr>
          <w:rFonts w:ascii="Times New Roman" w:eastAsia="Microsoft JhengHei" w:hAnsi="Times New Roman" w:cs="Times New Roman"/>
          <w:b/>
        </w:rPr>
      </w:pPr>
      <w:r w:rsidRPr="008A67C3">
        <w:rPr>
          <w:rFonts w:ascii="Times New Roman" w:eastAsia="Microsoft JhengHei" w:hAnsi="Times New Roman" w:cs="Times New Roman"/>
          <w:b/>
        </w:rPr>
        <w:t>Announcement Code: TEMP 2023-035</w:t>
      </w:r>
    </w:p>
    <w:p w14:paraId="673A6EE9" w14:textId="77777777" w:rsidR="00545F27" w:rsidRPr="008A67C3" w:rsidRDefault="00545F27" w:rsidP="00545F27">
      <w:pPr>
        <w:spacing w:before="15" w:line="244" w:lineRule="auto"/>
        <w:ind w:left="102" w:right="314"/>
        <w:rPr>
          <w:rFonts w:ascii="Times New Roman" w:eastAsia="Microsoft JhengHei" w:hAnsi="Times New Roman" w:cs="Times New Roman"/>
          <w:b/>
        </w:rPr>
      </w:pPr>
      <w:r w:rsidRPr="008A67C3">
        <w:rPr>
          <w:rFonts w:ascii="Times New Roman" w:eastAsia="Microsoft JhengHei" w:hAnsi="Times New Roman" w:cs="Times New Roman"/>
          <w:b/>
        </w:rPr>
        <w:t>Code of A Share: 601166            Abbreviation of A Share: Industrial Bank</w:t>
      </w:r>
    </w:p>
    <w:p w14:paraId="47BDCAAB" w14:textId="77777777" w:rsidR="00545F27" w:rsidRPr="008A67C3" w:rsidRDefault="00545F27" w:rsidP="00545F27">
      <w:pPr>
        <w:spacing w:before="15" w:line="244" w:lineRule="auto"/>
        <w:ind w:left="102" w:right="314"/>
        <w:rPr>
          <w:rFonts w:ascii="Times New Roman" w:eastAsia="Microsoft JhengHei" w:hAnsi="Times New Roman" w:cs="Times New Roman"/>
          <w:b/>
        </w:rPr>
      </w:pPr>
      <w:r w:rsidRPr="008A67C3">
        <w:rPr>
          <w:rFonts w:ascii="Times New Roman" w:eastAsia="Microsoft JhengHei" w:hAnsi="Times New Roman" w:cs="Times New Roman"/>
          <w:b/>
        </w:rPr>
        <w:t>Code of Preferred Stock: 360005, 360012, 360032     Abbreviation of Preferred Stock: Industrial Preferred 1, Industrial Preferred 2, Industrial Preferred 3</w:t>
      </w:r>
    </w:p>
    <w:p w14:paraId="5714DCC9" w14:textId="77777777" w:rsidR="00545F27" w:rsidRPr="008A67C3" w:rsidRDefault="00545F27" w:rsidP="00545F27">
      <w:pPr>
        <w:spacing w:before="15" w:line="244" w:lineRule="auto"/>
        <w:ind w:left="102" w:right="314"/>
        <w:rPr>
          <w:rFonts w:ascii="Times New Roman" w:eastAsia="Microsoft JhengHei" w:hAnsi="Times New Roman" w:cs="Times New Roman"/>
          <w:b/>
        </w:rPr>
      </w:pPr>
      <w:r w:rsidRPr="008A67C3">
        <w:rPr>
          <w:rFonts w:ascii="Times New Roman" w:eastAsia="Microsoft JhengHei" w:hAnsi="Times New Roman" w:cs="Times New Roman"/>
          <w:b/>
        </w:rPr>
        <w:t>Code of Convertible Bonds: 113052  Abbreviation of Convertible Bonds: Industrial Convertible Bonds</w:t>
      </w:r>
    </w:p>
    <w:p w14:paraId="3C8BFC35" w14:textId="77777777" w:rsidR="003F58AD" w:rsidRPr="008A67C3" w:rsidRDefault="003F58AD">
      <w:pPr>
        <w:spacing w:line="341" w:lineRule="auto"/>
        <w:rPr>
          <w:rFonts w:ascii="Times New Roman" w:hAnsi="Times New Roman" w:cs="Times New Roman"/>
          <w:lang w:eastAsia="zh-CN"/>
        </w:rPr>
      </w:pPr>
    </w:p>
    <w:p w14:paraId="02A1CA07" w14:textId="2229F1E9" w:rsidR="00D60A2E" w:rsidRPr="008A2641" w:rsidRDefault="00D60A2E" w:rsidP="00D60A2E">
      <w:pPr>
        <w:spacing w:before="42" w:line="222" w:lineRule="auto"/>
        <w:jc w:val="center"/>
        <w:rPr>
          <w:rFonts w:ascii="Times New Roman" w:eastAsia="黑体" w:hAnsi="Times New Roman" w:cs="Times New Roman"/>
          <w:b/>
          <w:bCs/>
          <w:color w:val="FF0000"/>
          <w:spacing w:val="8"/>
          <w:sz w:val="43"/>
          <w:szCs w:val="43"/>
          <w:lang w:eastAsia="zh-CN"/>
        </w:rPr>
      </w:pPr>
      <w:r w:rsidRPr="008A2641">
        <w:rPr>
          <w:rFonts w:ascii="Times New Roman" w:eastAsia="黑体" w:hAnsi="Times New Roman" w:cs="Times New Roman"/>
          <w:b/>
          <w:bCs/>
          <w:color w:val="FF0000"/>
          <w:spacing w:val="8"/>
          <w:sz w:val="43"/>
          <w:szCs w:val="43"/>
          <w:lang w:eastAsia="zh-CN"/>
        </w:rPr>
        <w:t>Industrial Bank Co., Ltd.</w:t>
      </w:r>
    </w:p>
    <w:p w14:paraId="27FD3B4B" w14:textId="1B23DFA4" w:rsidR="00D60A2E" w:rsidRPr="008A2641" w:rsidRDefault="004F2CDA" w:rsidP="00D60A2E">
      <w:pPr>
        <w:spacing w:before="42" w:line="222" w:lineRule="auto"/>
        <w:jc w:val="center"/>
        <w:rPr>
          <w:rFonts w:ascii="Times New Roman" w:eastAsia="黑体" w:hAnsi="Times New Roman" w:cs="Times New Roman"/>
          <w:b/>
          <w:bCs/>
          <w:color w:val="FF0000"/>
          <w:spacing w:val="8"/>
          <w:sz w:val="43"/>
          <w:szCs w:val="43"/>
          <w:lang w:eastAsia="zh-CN"/>
        </w:rPr>
      </w:pPr>
      <w:r w:rsidRPr="008A2641">
        <w:rPr>
          <w:rFonts w:ascii="Times New Roman" w:eastAsia="黑体" w:hAnsi="Times New Roman" w:cs="Times New Roman"/>
          <w:b/>
          <w:bCs/>
          <w:color w:val="FF0000"/>
          <w:spacing w:val="8"/>
          <w:sz w:val="43"/>
          <w:szCs w:val="43"/>
          <w:lang w:eastAsia="zh-CN"/>
        </w:rPr>
        <w:t xml:space="preserve">Announcement on the Result and Equity Change of the </w:t>
      </w:r>
      <w:r w:rsidR="0045563E" w:rsidRPr="008A2641">
        <w:rPr>
          <w:rFonts w:ascii="Times New Roman" w:eastAsia="黑体" w:hAnsi="Times New Roman" w:cs="Times New Roman"/>
          <w:b/>
          <w:bCs/>
          <w:color w:val="FF0000"/>
          <w:spacing w:val="8"/>
          <w:sz w:val="43"/>
          <w:szCs w:val="43"/>
          <w:lang w:eastAsia="zh-CN"/>
        </w:rPr>
        <w:t>Conversion</w:t>
      </w:r>
      <w:r w:rsidRPr="008A2641">
        <w:rPr>
          <w:rFonts w:ascii="Times New Roman" w:eastAsia="黑体" w:hAnsi="Times New Roman" w:cs="Times New Roman"/>
          <w:b/>
          <w:bCs/>
          <w:color w:val="FF0000"/>
          <w:spacing w:val="8"/>
          <w:sz w:val="43"/>
          <w:szCs w:val="43"/>
          <w:lang w:eastAsia="zh-CN"/>
        </w:rPr>
        <w:t xml:space="preserve"> of Convertible Bonds </w:t>
      </w:r>
      <w:r w:rsidR="0085167F" w:rsidRPr="008A2641">
        <w:rPr>
          <w:rFonts w:ascii="Times New Roman" w:eastAsia="黑体" w:hAnsi="Times New Roman" w:cs="Times New Roman"/>
          <w:b/>
          <w:bCs/>
          <w:color w:val="FF0000"/>
          <w:spacing w:val="8"/>
          <w:sz w:val="43"/>
          <w:szCs w:val="43"/>
          <w:lang w:eastAsia="zh-CN"/>
        </w:rPr>
        <w:t>into</w:t>
      </w:r>
      <w:r w:rsidRPr="008A2641">
        <w:rPr>
          <w:rFonts w:ascii="Times New Roman" w:eastAsia="黑体" w:hAnsi="Times New Roman" w:cs="Times New Roman"/>
          <w:b/>
          <w:bCs/>
          <w:color w:val="FF0000"/>
          <w:spacing w:val="8"/>
          <w:sz w:val="43"/>
          <w:szCs w:val="43"/>
          <w:lang w:eastAsia="zh-CN"/>
        </w:rPr>
        <w:t xml:space="preserve"> Equity</w:t>
      </w:r>
    </w:p>
    <w:p w14:paraId="066ECD24" w14:textId="77777777" w:rsidR="003F58AD" w:rsidRDefault="003F58AD">
      <w:pPr>
        <w:spacing w:line="363" w:lineRule="auto"/>
        <w:rPr>
          <w:rFonts w:ascii="Times New Roman" w:hAnsi="Times New Roman" w:cs="Times New Roman"/>
          <w:lang w:eastAsia="zh-CN"/>
        </w:rPr>
      </w:pPr>
    </w:p>
    <w:p w14:paraId="5639F56A" w14:textId="77777777" w:rsidR="009E02AA" w:rsidRPr="008A67C3" w:rsidRDefault="009E02AA">
      <w:pPr>
        <w:spacing w:line="363" w:lineRule="auto"/>
        <w:rPr>
          <w:rFonts w:ascii="Times New Roman" w:hAnsi="Times New Roman" w:cs="Times New Roman"/>
          <w:lang w:eastAsia="zh-CN"/>
        </w:rPr>
      </w:pPr>
    </w:p>
    <w:p w14:paraId="6CD16DFD" w14:textId="77777777" w:rsidR="00C46F82" w:rsidRPr="009E02AA" w:rsidRDefault="00C46F82" w:rsidP="009E02AA">
      <w:pPr>
        <w:widowControl w:val="0"/>
        <w:kinsoku/>
        <w:autoSpaceDE/>
        <w:autoSpaceDN/>
        <w:adjustRightInd/>
        <w:snapToGrid/>
        <w:spacing w:line="360" w:lineRule="auto"/>
        <w:ind w:firstLineChars="200" w:firstLine="480"/>
        <w:jc w:val="both"/>
        <w:textAlignment w:val="auto"/>
        <w:rPr>
          <w:rFonts w:ascii="Times New Roman" w:eastAsia="宋体" w:hAnsi="Times New Roman" w:cs="Times New Roman"/>
          <w:noProof w:val="0"/>
          <w:snapToGrid/>
          <w:color w:val="auto"/>
          <w:kern w:val="2"/>
          <w:sz w:val="24"/>
          <w:szCs w:val="22"/>
          <w:lang w:eastAsia="zh-CN"/>
        </w:rPr>
      </w:pPr>
      <w:bookmarkStart w:id="0" w:name="OLE_LINK1"/>
      <w:r w:rsidRPr="009E02AA">
        <w:rPr>
          <w:rFonts w:ascii="Times New Roman" w:eastAsia="宋体" w:hAnsi="Times New Roman" w:cs="Times New Roman"/>
          <w:noProof w:val="0"/>
          <w:snapToGrid/>
          <w:color w:val="auto"/>
          <w:kern w:val="2"/>
          <w:sz w:val="24"/>
          <w:szCs w:val="22"/>
          <w:lang w:eastAsia="zh-CN"/>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bookmarkEnd w:id="0"/>
    <w:p w14:paraId="22BB166E" w14:textId="77777777" w:rsidR="003F58AD" w:rsidRPr="008A67C3" w:rsidRDefault="003F58AD">
      <w:pPr>
        <w:spacing w:line="250" w:lineRule="auto"/>
        <w:rPr>
          <w:rFonts w:ascii="Times New Roman" w:hAnsi="Times New Roman" w:cs="Times New Roman"/>
          <w:lang w:eastAsia="zh-CN"/>
        </w:rPr>
      </w:pPr>
    </w:p>
    <w:p w14:paraId="7E583DC4" w14:textId="77777777" w:rsidR="003F58AD" w:rsidRPr="008A67C3" w:rsidRDefault="003F58AD">
      <w:pPr>
        <w:spacing w:line="251" w:lineRule="auto"/>
        <w:rPr>
          <w:rFonts w:ascii="Times New Roman" w:hAnsi="Times New Roman" w:cs="Times New Roman"/>
          <w:lang w:eastAsia="zh-CN"/>
        </w:rPr>
      </w:pPr>
    </w:p>
    <w:p w14:paraId="13BA58A3" w14:textId="77777777" w:rsidR="00E578BD" w:rsidRPr="00E13286" w:rsidRDefault="00E578BD" w:rsidP="00907F3A">
      <w:pPr>
        <w:widowControl w:val="0"/>
        <w:kinsoku/>
        <w:autoSpaceDE/>
        <w:autoSpaceDN/>
        <w:adjustRightInd/>
        <w:snapToGrid/>
        <w:spacing w:line="360" w:lineRule="auto"/>
        <w:jc w:val="both"/>
        <w:textAlignment w:val="auto"/>
        <w:rPr>
          <w:rFonts w:ascii="Times New Roman" w:eastAsia="宋体" w:hAnsi="Times New Roman" w:cs="Times New Roman"/>
          <w:b/>
          <w:bCs/>
          <w:noProof w:val="0"/>
          <w:snapToGrid/>
          <w:color w:val="auto"/>
          <w:kern w:val="2"/>
          <w:sz w:val="24"/>
          <w:szCs w:val="22"/>
          <w:lang w:eastAsia="zh-CN"/>
        </w:rPr>
      </w:pPr>
      <w:r w:rsidRPr="00E13286">
        <w:rPr>
          <w:rFonts w:ascii="Times New Roman" w:eastAsia="宋体" w:hAnsi="Times New Roman" w:cs="Times New Roman"/>
          <w:b/>
          <w:bCs/>
          <w:noProof w:val="0"/>
          <w:snapToGrid/>
          <w:color w:val="auto"/>
          <w:kern w:val="2"/>
          <w:sz w:val="24"/>
          <w:szCs w:val="22"/>
          <w:lang w:eastAsia="zh-CN"/>
        </w:rPr>
        <w:t>Important notifications:</w:t>
      </w:r>
    </w:p>
    <w:p w14:paraId="6EE72C8B" w14:textId="5A848E7D" w:rsidR="00E578BD" w:rsidRPr="009E02AA" w:rsidRDefault="004C3846" w:rsidP="009E02AA">
      <w:pPr>
        <w:widowControl w:val="0"/>
        <w:kinsoku/>
        <w:autoSpaceDE/>
        <w:autoSpaceDN/>
        <w:adjustRightInd/>
        <w:snapToGrid/>
        <w:spacing w:line="360" w:lineRule="auto"/>
        <w:ind w:firstLineChars="200" w:firstLine="482"/>
        <w:jc w:val="both"/>
        <w:textAlignment w:val="auto"/>
        <w:rPr>
          <w:rFonts w:ascii="Times New Roman" w:eastAsia="宋体" w:hAnsi="Times New Roman" w:cs="Times New Roman"/>
          <w:noProof w:val="0"/>
          <w:snapToGrid/>
          <w:color w:val="auto"/>
          <w:kern w:val="2"/>
          <w:sz w:val="24"/>
          <w:szCs w:val="22"/>
          <w:lang w:eastAsia="zh-CN"/>
        </w:rPr>
      </w:pPr>
      <w:r>
        <w:rPr>
          <w:rFonts w:ascii="Times New Roman" w:eastAsia="宋体" w:hAnsi="Times New Roman" w:cs="Times New Roman" w:hint="eastAsia"/>
          <w:b/>
          <w:bCs/>
          <w:noProof w:val="0"/>
          <w:snapToGrid/>
          <w:color w:val="auto"/>
          <w:kern w:val="2"/>
          <w:sz w:val="24"/>
          <w:szCs w:val="22"/>
          <w:lang w:eastAsia="zh-CN"/>
        </w:rPr>
        <w:t>·</w:t>
      </w:r>
      <w:r w:rsidR="00E578BD" w:rsidRPr="00116B36">
        <w:rPr>
          <w:rFonts w:ascii="Times New Roman" w:eastAsia="宋体" w:hAnsi="Times New Roman" w:cs="Times New Roman"/>
          <w:b/>
          <w:bCs/>
          <w:noProof w:val="0"/>
          <w:snapToGrid/>
          <w:color w:val="auto"/>
          <w:kern w:val="2"/>
          <w:sz w:val="24"/>
          <w:szCs w:val="22"/>
          <w:lang w:eastAsia="zh-CN"/>
        </w:rPr>
        <w:t xml:space="preserve">Cumulative conversion of bonds into shares: </w:t>
      </w:r>
      <w:r w:rsidR="00E578BD" w:rsidRPr="009E02AA">
        <w:rPr>
          <w:rFonts w:ascii="Times New Roman" w:eastAsia="宋体" w:hAnsi="Times New Roman" w:cs="Times New Roman"/>
          <w:noProof w:val="0"/>
          <w:snapToGrid/>
          <w:color w:val="auto"/>
          <w:kern w:val="2"/>
          <w:sz w:val="24"/>
          <w:szCs w:val="22"/>
          <w:lang w:eastAsia="zh-CN"/>
        </w:rPr>
        <w:t>By June 30, 2023, Industrial Convertible Bonds worth a cumulative amount of RMB 2,212,000 yuan have been converted into the Company</w:t>
      </w:r>
      <w:r w:rsidR="00240145">
        <w:rPr>
          <w:rFonts w:ascii="Times New Roman" w:eastAsia="宋体" w:hAnsi="Times New Roman" w:cs="Times New Roman"/>
          <w:noProof w:val="0"/>
          <w:snapToGrid/>
          <w:color w:val="auto"/>
          <w:kern w:val="2"/>
          <w:sz w:val="24"/>
          <w:szCs w:val="22"/>
          <w:lang w:eastAsia="zh-CN"/>
        </w:rPr>
        <w:t>’</w:t>
      </w:r>
      <w:r w:rsidR="00E578BD" w:rsidRPr="009E02AA">
        <w:rPr>
          <w:rFonts w:ascii="Times New Roman" w:eastAsia="宋体" w:hAnsi="Times New Roman" w:cs="Times New Roman"/>
          <w:noProof w:val="0"/>
          <w:snapToGrid/>
          <w:color w:val="auto"/>
          <w:kern w:val="2"/>
          <w:sz w:val="24"/>
          <w:szCs w:val="22"/>
          <w:lang w:eastAsia="zh-CN"/>
        </w:rPr>
        <w:t>s A-share ordinary shares, and such conversion has created a cumulative number of 89,855 shares, accounting for 0.00043% of the total ordinary shares issued by the Company before the conversion of bonds into equity.</w:t>
      </w:r>
    </w:p>
    <w:p w14:paraId="35A4CDB4" w14:textId="13D41605" w:rsidR="00E578BD" w:rsidRPr="009E02AA" w:rsidRDefault="00251BF6" w:rsidP="009E02AA">
      <w:pPr>
        <w:widowControl w:val="0"/>
        <w:kinsoku/>
        <w:autoSpaceDE/>
        <w:autoSpaceDN/>
        <w:adjustRightInd/>
        <w:snapToGrid/>
        <w:spacing w:line="360" w:lineRule="auto"/>
        <w:ind w:firstLineChars="200" w:firstLine="482"/>
        <w:jc w:val="both"/>
        <w:textAlignment w:val="auto"/>
        <w:rPr>
          <w:rFonts w:ascii="Times New Roman" w:eastAsia="宋体" w:hAnsi="Times New Roman" w:cs="Times New Roman"/>
          <w:noProof w:val="0"/>
          <w:snapToGrid/>
          <w:color w:val="auto"/>
          <w:kern w:val="2"/>
          <w:sz w:val="24"/>
          <w:szCs w:val="22"/>
          <w:lang w:eastAsia="zh-CN"/>
        </w:rPr>
      </w:pPr>
      <w:r>
        <w:rPr>
          <w:rFonts w:ascii="Times New Roman" w:eastAsia="宋体" w:hAnsi="Times New Roman" w:cs="Times New Roman" w:hint="eastAsia"/>
          <w:b/>
          <w:bCs/>
          <w:noProof w:val="0"/>
          <w:snapToGrid/>
          <w:color w:val="auto"/>
          <w:kern w:val="2"/>
          <w:sz w:val="24"/>
          <w:szCs w:val="22"/>
          <w:lang w:eastAsia="zh-CN"/>
        </w:rPr>
        <w:t>·</w:t>
      </w:r>
      <w:r w:rsidR="00E578BD" w:rsidRPr="00C835E1">
        <w:rPr>
          <w:rFonts w:ascii="Times New Roman" w:eastAsia="宋体" w:hAnsi="Times New Roman" w:cs="Times New Roman"/>
          <w:b/>
          <w:bCs/>
          <w:noProof w:val="0"/>
          <w:snapToGrid/>
          <w:color w:val="auto"/>
          <w:kern w:val="2"/>
          <w:sz w:val="24"/>
          <w:szCs w:val="22"/>
          <w:lang w:eastAsia="zh-CN"/>
        </w:rPr>
        <w:t>Status of convertible bonds not yet converted into shares:</w:t>
      </w:r>
      <w:r w:rsidR="00E578BD" w:rsidRPr="009E02AA">
        <w:rPr>
          <w:rFonts w:ascii="Times New Roman" w:eastAsia="宋体" w:hAnsi="Times New Roman" w:cs="Times New Roman"/>
          <w:noProof w:val="0"/>
          <w:snapToGrid/>
          <w:color w:val="auto"/>
          <w:kern w:val="2"/>
          <w:sz w:val="24"/>
          <w:szCs w:val="22"/>
          <w:lang w:eastAsia="zh-CN"/>
        </w:rPr>
        <w:t xml:space="preserve"> By June 30, 2023, the amount of Industrial Convertible Bonds not yet converted into shares stood at RMB 49,997,788,000 yuan, accounting for 99.99558% of the total issuance of Industrial Convertible Bonds.</w:t>
      </w:r>
    </w:p>
    <w:p w14:paraId="0F913F4D" w14:textId="40EA0786" w:rsidR="003F58AD" w:rsidRPr="005B43A2" w:rsidRDefault="005B43A2" w:rsidP="005B43A2">
      <w:pPr>
        <w:widowControl w:val="0"/>
        <w:kinsoku/>
        <w:autoSpaceDE/>
        <w:autoSpaceDN/>
        <w:adjustRightInd/>
        <w:snapToGrid/>
        <w:spacing w:line="360" w:lineRule="auto"/>
        <w:ind w:firstLineChars="200" w:firstLine="482"/>
        <w:jc w:val="both"/>
        <w:textAlignment w:val="auto"/>
        <w:rPr>
          <w:rFonts w:ascii="Times New Roman" w:eastAsia="宋体" w:hAnsi="Times New Roman" w:cs="Times New Roman"/>
          <w:b/>
          <w:bCs/>
          <w:noProof w:val="0"/>
          <w:snapToGrid/>
          <w:color w:val="auto"/>
          <w:kern w:val="2"/>
          <w:sz w:val="24"/>
          <w:szCs w:val="22"/>
          <w:lang w:eastAsia="zh-CN"/>
        </w:rPr>
      </w:pPr>
      <w:r>
        <w:rPr>
          <w:rFonts w:ascii="Times New Roman" w:eastAsia="宋体" w:hAnsi="Times New Roman" w:cs="Times New Roman" w:hint="eastAsia"/>
          <w:b/>
          <w:bCs/>
          <w:noProof w:val="0"/>
          <w:snapToGrid/>
          <w:color w:val="auto"/>
          <w:kern w:val="2"/>
          <w:sz w:val="24"/>
          <w:szCs w:val="22"/>
          <w:lang w:eastAsia="zh-CN"/>
        </w:rPr>
        <w:t>·</w:t>
      </w:r>
      <w:r w:rsidR="00E0064F">
        <w:rPr>
          <w:rFonts w:ascii="Times New Roman" w:eastAsia="宋体" w:hAnsi="Times New Roman" w:cs="Times New Roman" w:hint="eastAsia"/>
          <w:b/>
          <w:bCs/>
          <w:noProof w:val="0"/>
          <w:snapToGrid/>
          <w:color w:val="auto"/>
          <w:kern w:val="2"/>
          <w:sz w:val="24"/>
          <w:szCs w:val="22"/>
          <w:lang w:eastAsia="zh-CN"/>
        </w:rPr>
        <w:t>C</w:t>
      </w:r>
      <w:r w:rsidR="00E0064F">
        <w:rPr>
          <w:rFonts w:ascii="Times New Roman" w:eastAsia="宋体" w:hAnsi="Times New Roman" w:cs="Times New Roman"/>
          <w:b/>
          <w:bCs/>
          <w:noProof w:val="0"/>
          <w:snapToGrid/>
          <w:color w:val="auto"/>
          <w:kern w:val="2"/>
          <w:sz w:val="24"/>
          <w:szCs w:val="22"/>
          <w:lang w:eastAsia="zh-CN"/>
        </w:rPr>
        <w:t>onversion of b</w:t>
      </w:r>
      <w:r w:rsidR="00E578BD" w:rsidRPr="005B43A2">
        <w:rPr>
          <w:rFonts w:ascii="Times New Roman" w:eastAsia="宋体" w:hAnsi="Times New Roman" w:cs="Times New Roman"/>
          <w:b/>
          <w:bCs/>
          <w:noProof w:val="0"/>
          <w:snapToGrid/>
          <w:color w:val="auto"/>
          <w:kern w:val="2"/>
          <w:sz w:val="24"/>
          <w:szCs w:val="22"/>
          <w:lang w:eastAsia="zh-CN"/>
        </w:rPr>
        <w:t>ond</w:t>
      </w:r>
      <w:r w:rsidR="00E0064F">
        <w:rPr>
          <w:rFonts w:ascii="Times New Roman" w:eastAsia="宋体" w:hAnsi="Times New Roman" w:cs="Times New Roman"/>
          <w:b/>
          <w:bCs/>
          <w:noProof w:val="0"/>
          <w:snapToGrid/>
          <w:color w:val="auto"/>
          <w:kern w:val="2"/>
          <w:sz w:val="24"/>
          <w:szCs w:val="22"/>
          <w:lang w:eastAsia="zh-CN"/>
        </w:rPr>
        <w:t>s into</w:t>
      </w:r>
      <w:r w:rsidR="00E578BD" w:rsidRPr="005B43A2">
        <w:rPr>
          <w:rFonts w:ascii="Times New Roman" w:eastAsia="宋体" w:hAnsi="Times New Roman" w:cs="Times New Roman"/>
          <w:b/>
          <w:bCs/>
          <w:noProof w:val="0"/>
          <w:snapToGrid/>
          <w:color w:val="auto"/>
          <w:kern w:val="2"/>
          <w:sz w:val="24"/>
          <w:szCs w:val="22"/>
          <w:lang w:eastAsia="zh-CN"/>
        </w:rPr>
        <w:t xml:space="preserve"> </w:t>
      </w:r>
      <w:r w:rsidR="00D44CC8">
        <w:rPr>
          <w:rFonts w:ascii="Times New Roman" w:eastAsia="宋体" w:hAnsi="Times New Roman" w:cs="Times New Roman"/>
          <w:b/>
          <w:bCs/>
          <w:noProof w:val="0"/>
          <w:snapToGrid/>
          <w:color w:val="auto"/>
          <w:kern w:val="2"/>
          <w:sz w:val="24"/>
          <w:szCs w:val="22"/>
          <w:lang w:eastAsia="zh-CN"/>
        </w:rPr>
        <w:t>shares</w:t>
      </w:r>
      <w:r w:rsidR="00E578BD" w:rsidRPr="005B43A2">
        <w:rPr>
          <w:rFonts w:ascii="Times New Roman" w:eastAsia="宋体" w:hAnsi="Times New Roman" w:cs="Times New Roman"/>
          <w:b/>
          <w:bCs/>
          <w:noProof w:val="0"/>
          <w:snapToGrid/>
          <w:color w:val="auto"/>
          <w:kern w:val="2"/>
          <w:sz w:val="24"/>
          <w:szCs w:val="22"/>
          <w:lang w:eastAsia="zh-CN"/>
        </w:rPr>
        <w:t xml:space="preserve"> in this quarter: </w:t>
      </w:r>
      <w:r w:rsidR="00E578BD" w:rsidRPr="005B43A2">
        <w:rPr>
          <w:rFonts w:ascii="Times New Roman" w:eastAsia="宋体" w:hAnsi="Times New Roman" w:cs="Times New Roman"/>
          <w:noProof w:val="0"/>
          <w:snapToGrid/>
          <w:color w:val="auto"/>
          <w:kern w:val="2"/>
          <w:sz w:val="24"/>
          <w:szCs w:val="22"/>
          <w:lang w:eastAsia="zh-CN"/>
        </w:rPr>
        <w:t>From April 1, 2023 to June 30, 2023, a total of Industrial Convertible Bonds worth RMB 412,000 yuan was converted into the Company</w:t>
      </w:r>
      <w:r w:rsidR="00240145" w:rsidRPr="005B43A2">
        <w:rPr>
          <w:rFonts w:ascii="Times New Roman" w:eastAsia="宋体" w:hAnsi="Times New Roman" w:cs="Times New Roman"/>
          <w:noProof w:val="0"/>
          <w:snapToGrid/>
          <w:color w:val="auto"/>
          <w:kern w:val="2"/>
          <w:sz w:val="24"/>
          <w:szCs w:val="22"/>
          <w:lang w:eastAsia="zh-CN"/>
        </w:rPr>
        <w:t>’</w:t>
      </w:r>
      <w:r w:rsidR="00E578BD" w:rsidRPr="005B43A2">
        <w:rPr>
          <w:rFonts w:ascii="Times New Roman" w:eastAsia="宋体" w:hAnsi="Times New Roman" w:cs="Times New Roman"/>
          <w:noProof w:val="0"/>
          <w:snapToGrid/>
          <w:color w:val="auto"/>
          <w:kern w:val="2"/>
          <w:sz w:val="24"/>
          <w:szCs w:val="22"/>
          <w:lang w:eastAsia="zh-CN"/>
        </w:rPr>
        <w:t xml:space="preserve">s A-share ordinary shares, and the </w:t>
      </w:r>
      <w:r w:rsidR="000D2E3E">
        <w:rPr>
          <w:rFonts w:ascii="Times New Roman" w:eastAsia="宋体" w:hAnsi="Times New Roman" w:cs="Times New Roman"/>
          <w:noProof w:val="0"/>
          <w:snapToGrid/>
          <w:color w:val="auto"/>
          <w:kern w:val="2"/>
          <w:sz w:val="24"/>
          <w:szCs w:val="22"/>
          <w:lang w:eastAsia="zh-CN"/>
        </w:rPr>
        <w:t>conversion</w:t>
      </w:r>
      <w:r w:rsidR="00E578BD" w:rsidRPr="005B43A2">
        <w:rPr>
          <w:rFonts w:ascii="Times New Roman" w:eastAsia="宋体" w:hAnsi="Times New Roman" w:cs="Times New Roman"/>
          <w:noProof w:val="0"/>
          <w:snapToGrid/>
          <w:color w:val="auto"/>
          <w:kern w:val="2"/>
          <w:sz w:val="24"/>
          <w:szCs w:val="22"/>
          <w:lang w:eastAsia="zh-CN"/>
        </w:rPr>
        <w:t xml:space="preserve"> has created 16,950 shares.</w:t>
      </w:r>
    </w:p>
    <w:p w14:paraId="523619DB" w14:textId="77777777" w:rsidR="003F58AD" w:rsidRPr="008A67C3" w:rsidRDefault="003F58AD">
      <w:pPr>
        <w:spacing w:line="286" w:lineRule="auto"/>
        <w:rPr>
          <w:rFonts w:ascii="Times New Roman" w:hAnsi="Times New Roman" w:cs="Times New Roman"/>
          <w:lang w:eastAsia="zh-CN"/>
        </w:rPr>
      </w:pPr>
    </w:p>
    <w:p w14:paraId="63B516E5" w14:textId="77777777" w:rsidR="005065F6" w:rsidRPr="004A7CDA" w:rsidRDefault="005065F6" w:rsidP="005065F6">
      <w:pPr>
        <w:pStyle w:val="a3"/>
        <w:spacing w:before="183" w:line="360" w:lineRule="auto"/>
        <w:ind w:right="112"/>
        <w:jc w:val="both"/>
        <w:rPr>
          <w:rFonts w:ascii="Times New Roman" w:hAnsi="Times New Roman" w:cs="Times New Roman"/>
          <w:b/>
          <w:bCs/>
          <w:spacing w:val="3"/>
          <w:lang w:eastAsia="zh-CN"/>
        </w:rPr>
      </w:pPr>
      <w:r w:rsidRPr="004A7CDA">
        <w:rPr>
          <w:rFonts w:ascii="Times New Roman" w:hAnsi="Times New Roman" w:cs="Times New Roman"/>
          <w:b/>
          <w:bCs/>
          <w:spacing w:val="3"/>
          <w:lang w:eastAsia="zh-CN"/>
        </w:rPr>
        <w:t>I. Offering of Convertible Bonds</w:t>
      </w:r>
    </w:p>
    <w:p w14:paraId="62C209C3" w14:textId="3EEAD9E8" w:rsidR="005065F6" w:rsidRPr="008A67C3" w:rsidRDefault="005065F6" w:rsidP="005065F6">
      <w:pPr>
        <w:pStyle w:val="a3"/>
        <w:spacing w:before="183" w:line="360" w:lineRule="auto"/>
        <w:ind w:left="123" w:right="112" w:firstLine="478"/>
        <w:jc w:val="both"/>
        <w:rPr>
          <w:rFonts w:ascii="Times New Roman" w:hAnsi="Times New Roman" w:cs="Times New Roman"/>
          <w:spacing w:val="3"/>
          <w:lang w:eastAsia="zh-CN"/>
        </w:rPr>
      </w:pPr>
      <w:r w:rsidRPr="008A67C3">
        <w:rPr>
          <w:rFonts w:ascii="Times New Roman" w:hAnsi="Times New Roman" w:cs="Times New Roman"/>
          <w:spacing w:val="3"/>
          <w:lang w:eastAsia="zh-CN"/>
        </w:rPr>
        <w:t xml:space="preserve">With the </w:t>
      </w:r>
      <w:r w:rsidRPr="0034500F">
        <w:rPr>
          <w:rFonts w:ascii="Times New Roman" w:hAnsi="Times New Roman" w:cs="Times New Roman"/>
          <w:i/>
          <w:iCs/>
          <w:spacing w:val="3"/>
          <w:lang w:eastAsia="zh-CN"/>
        </w:rPr>
        <w:t>Reply on the Approval of the Offering of Convertible Corporate Bonds by Industrial Bank Co., Ltd.</w:t>
      </w:r>
      <w:r w:rsidRPr="008A67C3">
        <w:rPr>
          <w:rFonts w:ascii="Times New Roman" w:hAnsi="Times New Roman" w:cs="Times New Roman"/>
          <w:spacing w:val="3"/>
          <w:lang w:eastAsia="zh-CN"/>
        </w:rPr>
        <w:t xml:space="preserve"> (Zheng Jian Xu Ke [2021] No.3927, Industrial Bank Co., </w:t>
      </w:r>
      <w:r w:rsidRPr="008A67C3">
        <w:rPr>
          <w:rFonts w:ascii="Times New Roman" w:hAnsi="Times New Roman" w:cs="Times New Roman"/>
          <w:spacing w:val="3"/>
          <w:lang w:eastAsia="zh-CN"/>
        </w:rPr>
        <w:lastRenderedPageBreak/>
        <w:t>Ltd. (</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Company</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 publicly offered 500</w:t>
      </w:r>
      <w:r w:rsidR="00562D36">
        <w:rPr>
          <w:rFonts w:ascii="Times New Roman" w:hAnsi="Times New Roman" w:cs="Times New Roman"/>
          <w:spacing w:val="3"/>
          <w:lang w:eastAsia="zh-CN"/>
        </w:rPr>
        <w:t xml:space="preserve"> million</w:t>
      </w:r>
      <w:r w:rsidRPr="008A67C3">
        <w:rPr>
          <w:rFonts w:ascii="Times New Roman" w:hAnsi="Times New Roman" w:cs="Times New Roman"/>
          <w:spacing w:val="3"/>
          <w:lang w:eastAsia="zh-CN"/>
        </w:rPr>
        <w:t xml:space="preserve"> A-share convertible corporate bonds on December 27, 2021 (</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Convertible Bonds</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 xml:space="preserve"> and </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Industrial Convertible Bonds</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 xml:space="preserve">) each with a </w:t>
      </w:r>
      <w:r w:rsidR="002200FB">
        <w:rPr>
          <w:rFonts w:ascii="Times New Roman" w:hAnsi="Times New Roman" w:cs="Times New Roman"/>
          <w:spacing w:val="3"/>
          <w:lang w:eastAsia="zh-CN"/>
        </w:rPr>
        <w:t>par</w:t>
      </w:r>
      <w:r w:rsidRPr="008A67C3">
        <w:rPr>
          <w:rFonts w:ascii="Times New Roman" w:hAnsi="Times New Roman" w:cs="Times New Roman"/>
          <w:spacing w:val="3"/>
          <w:lang w:eastAsia="zh-CN"/>
        </w:rPr>
        <w:t xml:space="preserve"> value of RMB 100 </w:t>
      </w:r>
      <w:r w:rsidR="00B73250">
        <w:rPr>
          <w:rFonts w:ascii="Times New Roman" w:hAnsi="Times New Roman" w:cs="Times New Roman"/>
          <w:spacing w:val="3"/>
          <w:lang w:eastAsia="zh-CN"/>
        </w:rPr>
        <w:t>yuan</w:t>
      </w:r>
      <w:r w:rsidRPr="008A67C3">
        <w:rPr>
          <w:rFonts w:ascii="Times New Roman" w:hAnsi="Times New Roman" w:cs="Times New Roman"/>
          <w:spacing w:val="3"/>
          <w:lang w:eastAsia="zh-CN"/>
        </w:rPr>
        <w:t>, and the total amount of issuance is RMB 50 billion yuan for a period of six years. The coupon rate is 0.2% for the first year, 0.4% for the second year, 1.0% for the third year, 1.5% for the fourth year, 2.3% for the fifth year, 3.0% for the sixth year.</w:t>
      </w:r>
    </w:p>
    <w:p w14:paraId="51E41C65" w14:textId="3FAF29AD" w:rsidR="005065F6" w:rsidRPr="008A67C3" w:rsidRDefault="005065F6" w:rsidP="005065F6">
      <w:pPr>
        <w:pStyle w:val="a3"/>
        <w:spacing w:before="183" w:line="360" w:lineRule="auto"/>
        <w:ind w:left="123" w:right="112" w:firstLine="478"/>
        <w:jc w:val="both"/>
        <w:rPr>
          <w:rFonts w:ascii="Times New Roman" w:hAnsi="Times New Roman" w:cs="Times New Roman"/>
          <w:spacing w:val="3"/>
          <w:lang w:eastAsia="zh-CN"/>
        </w:rPr>
      </w:pPr>
      <w:r w:rsidRPr="008A67C3">
        <w:rPr>
          <w:rFonts w:ascii="Times New Roman" w:hAnsi="Times New Roman" w:cs="Times New Roman"/>
          <w:spacing w:val="3"/>
          <w:lang w:eastAsia="zh-CN"/>
        </w:rPr>
        <w:t xml:space="preserve">With the approval of the Shanghai Stock Exchange under the </w:t>
      </w:r>
      <w:r w:rsidRPr="00BE4E26">
        <w:rPr>
          <w:rFonts w:ascii="Times New Roman" w:hAnsi="Times New Roman" w:cs="Times New Roman"/>
          <w:i/>
          <w:iCs/>
          <w:spacing w:val="3"/>
          <w:lang w:eastAsia="zh-CN"/>
        </w:rPr>
        <w:t>Self-Regulatory Decision Letter [2022] No.13</w:t>
      </w:r>
      <w:r w:rsidRPr="008A67C3">
        <w:rPr>
          <w:rFonts w:ascii="Times New Roman" w:hAnsi="Times New Roman" w:cs="Times New Roman"/>
          <w:spacing w:val="3"/>
          <w:lang w:eastAsia="zh-CN"/>
        </w:rPr>
        <w:t xml:space="preserve">, the </w:t>
      </w:r>
      <w:r w:rsidR="004C5C47" w:rsidRPr="008A67C3">
        <w:rPr>
          <w:rFonts w:ascii="Times New Roman" w:hAnsi="Times New Roman" w:cs="Times New Roman"/>
          <w:spacing w:val="3"/>
          <w:lang w:eastAsia="zh-CN"/>
        </w:rPr>
        <w:t>Company</w:t>
      </w:r>
      <w:r w:rsidR="004C5C47">
        <w:rPr>
          <w:rFonts w:ascii="Times New Roman" w:hAnsi="Times New Roman" w:cs="Times New Roman"/>
          <w:spacing w:val="3"/>
          <w:lang w:eastAsia="zh-CN"/>
        </w:rPr>
        <w:t>’</w:t>
      </w:r>
      <w:r w:rsidR="0065297D">
        <w:rPr>
          <w:rFonts w:ascii="Times New Roman" w:hAnsi="Times New Roman" w:cs="Times New Roman"/>
          <w:spacing w:val="3"/>
          <w:lang w:eastAsia="zh-CN"/>
        </w:rPr>
        <w:t>s</w:t>
      </w:r>
      <w:r w:rsidR="004C5C47" w:rsidRPr="008A67C3">
        <w:rPr>
          <w:rFonts w:ascii="Times New Roman" w:hAnsi="Times New Roman" w:cs="Times New Roman"/>
          <w:spacing w:val="3"/>
          <w:lang w:eastAsia="zh-CN"/>
        </w:rPr>
        <w:t xml:space="preserve"> </w:t>
      </w:r>
      <w:r w:rsidRPr="008A67C3">
        <w:rPr>
          <w:rFonts w:ascii="Times New Roman" w:hAnsi="Times New Roman" w:cs="Times New Roman"/>
          <w:spacing w:val="3"/>
          <w:lang w:eastAsia="zh-CN"/>
        </w:rPr>
        <w:t>convertible bonds worth RMB 50 billion yuan were listed at the Shanghai Stock Exchange for trading on January 14, 2022. The abbreviation of the convertible bond</w:t>
      </w:r>
      <w:r w:rsidR="00BB20E3">
        <w:rPr>
          <w:rFonts w:ascii="Times New Roman" w:hAnsi="Times New Roman" w:cs="Times New Roman"/>
          <w:spacing w:val="3"/>
          <w:lang w:eastAsia="zh-CN"/>
        </w:rPr>
        <w:t>s</w:t>
      </w:r>
      <w:r w:rsidRPr="008A67C3">
        <w:rPr>
          <w:rFonts w:ascii="Times New Roman" w:hAnsi="Times New Roman" w:cs="Times New Roman"/>
          <w:spacing w:val="3"/>
          <w:lang w:eastAsia="zh-CN"/>
        </w:rPr>
        <w:t xml:space="preserve"> is </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Industrial Convertible Bond</w:t>
      </w:r>
      <w:r w:rsidR="00BB20E3">
        <w:rPr>
          <w:rFonts w:ascii="Times New Roman" w:hAnsi="Times New Roman" w:cs="Times New Roman"/>
          <w:spacing w:val="3"/>
          <w:lang w:eastAsia="zh-CN"/>
        </w:rPr>
        <w:t>s</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 xml:space="preserve">, and the trading code is </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113052</w:t>
      </w:r>
      <w:r w:rsidR="009D4BB6">
        <w:rPr>
          <w:rFonts w:ascii="Times New Roman" w:hAnsi="Times New Roman" w:cs="Times New Roman"/>
          <w:spacing w:val="3"/>
          <w:lang w:eastAsia="zh-CN"/>
        </w:rPr>
        <w:t>”</w:t>
      </w:r>
      <w:r w:rsidRPr="008A67C3">
        <w:rPr>
          <w:rFonts w:ascii="Times New Roman" w:hAnsi="Times New Roman" w:cs="Times New Roman"/>
          <w:spacing w:val="3"/>
          <w:lang w:eastAsia="zh-CN"/>
        </w:rPr>
        <w:t>.</w:t>
      </w:r>
    </w:p>
    <w:p w14:paraId="1BDEE15E" w14:textId="19B8C955" w:rsidR="005065F6" w:rsidRPr="008A67C3" w:rsidRDefault="005065F6" w:rsidP="005065F6">
      <w:pPr>
        <w:pStyle w:val="a3"/>
        <w:spacing w:before="183" w:line="360" w:lineRule="auto"/>
        <w:ind w:left="123" w:right="112" w:firstLine="478"/>
        <w:jc w:val="both"/>
        <w:rPr>
          <w:rFonts w:ascii="Times New Roman" w:hAnsi="Times New Roman" w:cs="Times New Roman"/>
          <w:spacing w:val="3"/>
          <w:lang w:eastAsia="zh-CN"/>
        </w:rPr>
      </w:pPr>
      <w:r w:rsidRPr="008A67C3">
        <w:rPr>
          <w:rFonts w:ascii="Times New Roman" w:hAnsi="Times New Roman" w:cs="Times New Roman"/>
          <w:spacing w:val="3"/>
          <w:lang w:eastAsia="zh-CN"/>
        </w:rPr>
        <w:t xml:space="preserve">In accordance with relevant </w:t>
      </w:r>
      <w:r w:rsidR="00BF0CB2">
        <w:rPr>
          <w:rFonts w:ascii="Times New Roman" w:hAnsi="Times New Roman" w:cs="Times New Roman"/>
          <w:spacing w:val="3"/>
          <w:lang w:eastAsia="zh-CN"/>
        </w:rPr>
        <w:t>rules</w:t>
      </w:r>
      <w:r w:rsidRPr="008A67C3">
        <w:rPr>
          <w:rFonts w:ascii="Times New Roman" w:hAnsi="Times New Roman" w:cs="Times New Roman"/>
          <w:spacing w:val="3"/>
          <w:lang w:eastAsia="zh-CN"/>
        </w:rPr>
        <w:t xml:space="preserve"> of the </w:t>
      </w:r>
      <w:r w:rsidRPr="00E75502">
        <w:rPr>
          <w:rFonts w:ascii="Times New Roman" w:hAnsi="Times New Roman" w:cs="Times New Roman"/>
          <w:i/>
          <w:iCs/>
          <w:spacing w:val="3"/>
          <w:lang w:eastAsia="zh-CN"/>
        </w:rPr>
        <w:t>Administrative Measures for Convertible Corporate Bonds</w:t>
      </w:r>
      <w:r w:rsidRPr="008A67C3">
        <w:rPr>
          <w:rFonts w:ascii="Times New Roman" w:hAnsi="Times New Roman" w:cs="Times New Roman"/>
          <w:spacing w:val="3"/>
          <w:lang w:eastAsia="zh-CN"/>
        </w:rPr>
        <w:t xml:space="preserve"> and </w:t>
      </w:r>
      <w:r w:rsidR="00BF0CB2">
        <w:rPr>
          <w:rFonts w:ascii="Times New Roman" w:hAnsi="Times New Roman" w:cs="Times New Roman"/>
          <w:spacing w:val="3"/>
          <w:lang w:eastAsia="zh-CN"/>
        </w:rPr>
        <w:t xml:space="preserve">agreement in </w:t>
      </w:r>
      <w:r w:rsidRPr="008A67C3">
        <w:rPr>
          <w:rFonts w:ascii="Times New Roman" w:hAnsi="Times New Roman" w:cs="Times New Roman"/>
          <w:spacing w:val="3"/>
          <w:lang w:eastAsia="zh-CN"/>
        </w:rPr>
        <w:t xml:space="preserve">the </w:t>
      </w:r>
      <w:r w:rsidRPr="00E75502">
        <w:rPr>
          <w:rFonts w:ascii="Times New Roman" w:hAnsi="Times New Roman" w:cs="Times New Roman"/>
          <w:i/>
          <w:iCs/>
          <w:spacing w:val="3"/>
          <w:lang w:eastAsia="zh-CN"/>
        </w:rPr>
        <w:t xml:space="preserve">Prospectus for the Public Offering of </w:t>
      </w:r>
      <w:r w:rsidR="00582AFB" w:rsidRPr="00E75502">
        <w:rPr>
          <w:rFonts w:ascii="Times New Roman" w:hAnsi="Times New Roman" w:cs="Times New Roman"/>
          <w:i/>
          <w:iCs/>
          <w:spacing w:val="3"/>
          <w:lang w:eastAsia="zh-CN"/>
        </w:rPr>
        <w:t>A</w:t>
      </w:r>
      <w:r w:rsidRPr="00E75502">
        <w:rPr>
          <w:rFonts w:ascii="Times New Roman" w:hAnsi="Times New Roman" w:cs="Times New Roman"/>
          <w:i/>
          <w:iCs/>
          <w:spacing w:val="3"/>
          <w:lang w:eastAsia="zh-CN"/>
        </w:rPr>
        <w:t>-Share Convertible Corporate Bonds by Industrial Bank</w:t>
      </w:r>
      <w:r w:rsidRPr="008A67C3">
        <w:rPr>
          <w:rFonts w:ascii="Times New Roman" w:hAnsi="Times New Roman" w:cs="Times New Roman"/>
          <w:spacing w:val="3"/>
          <w:lang w:eastAsia="zh-CN"/>
        </w:rPr>
        <w:t>, Industrial Convertible Bond</w:t>
      </w:r>
      <w:r w:rsidR="00504897">
        <w:rPr>
          <w:rFonts w:ascii="Times New Roman" w:hAnsi="Times New Roman" w:cs="Times New Roman"/>
          <w:spacing w:val="3"/>
          <w:lang w:eastAsia="zh-CN"/>
        </w:rPr>
        <w:t>s</w:t>
      </w:r>
      <w:r w:rsidRPr="008A67C3">
        <w:rPr>
          <w:rFonts w:ascii="Times New Roman" w:hAnsi="Times New Roman" w:cs="Times New Roman"/>
          <w:spacing w:val="3"/>
          <w:lang w:eastAsia="zh-CN"/>
        </w:rPr>
        <w:t xml:space="preserve"> may be converted into the Company</w:t>
      </w:r>
      <w:r w:rsidR="00240145">
        <w:rPr>
          <w:rFonts w:ascii="Times New Roman" w:hAnsi="Times New Roman" w:cs="Times New Roman"/>
          <w:spacing w:val="3"/>
          <w:lang w:eastAsia="zh-CN"/>
        </w:rPr>
        <w:t>’</w:t>
      </w:r>
      <w:r w:rsidRPr="008A67C3">
        <w:rPr>
          <w:rFonts w:ascii="Times New Roman" w:hAnsi="Times New Roman" w:cs="Times New Roman"/>
          <w:spacing w:val="3"/>
          <w:lang w:eastAsia="zh-CN"/>
        </w:rPr>
        <w:t>s A-share ordinary shares as of June 30, 2022. The current share conversion price of Industrial Convertible Bonds is RMB 23.29 yuan/share.</w:t>
      </w:r>
    </w:p>
    <w:p w14:paraId="11E201ED" w14:textId="77777777" w:rsidR="0067216C" w:rsidRPr="004866A5" w:rsidRDefault="0067216C" w:rsidP="004866A5">
      <w:pPr>
        <w:pStyle w:val="a3"/>
        <w:spacing w:before="183" w:line="360" w:lineRule="auto"/>
        <w:ind w:right="112" w:firstLineChars="50" w:firstLine="122"/>
        <w:jc w:val="both"/>
        <w:rPr>
          <w:rFonts w:ascii="Times New Roman" w:hAnsi="Times New Roman" w:cs="Times New Roman"/>
          <w:b/>
          <w:bCs/>
          <w:spacing w:val="3"/>
          <w:lang w:eastAsia="zh-CN"/>
        </w:rPr>
      </w:pPr>
      <w:r w:rsidRPr="004866A5">
        <w:rPr>
          <w:rFonts w:ascii="Times New Roman" w:hAnsi="Times New Roman" w:cs="Times New Roman"/>
          <w:b/>
          <w:bCs/>
          <w:spacing w:val="3"/>
          <w:lang w:eastAsia="zh-CN"/>
        </w:rPr>
        <w:t>II. Share Conversion of the Convertible Bond</w:t>
      </w:r>
    </w:p>
    <w:p w14:paraId="2670970C" w14:textId="30A23DD6" w:rsidR="0067216C" w:rsidRPr="00A84073" w:rsidRDefault="0067216C" w:rsidP="00A84073">
      <w:pPr>
        <w:pStyle w:val="a3"/>
        <w:spacing w:before="183" w:line="360" w:lineRule="auto"/>
        <w:ind w:left="123" w:right="112" w:firstLine="478"/>
        <w:jc w:val="both"/>
        <w:rPr>
          <w:rFonts w:ascii="Times New Roman" w:hAnsi="Times New Roman" w:cs="Times New Roman"/>
          <w:spacing w:val="3"/>
          <w:lang w:eastAsia="zh-CN"/>
        </w:rPr>
      </w:pPr>
      <w:r w:rsidRPr="00A84073">
        <w:rPr>
          <w:rFonts w:ascii="Times New Roman" w:hAnsi="Times New Roman" w:cs="Times New Roman"/>
          <w:spacing w:val="3"/>
          <w:lang w:eastAsia="zh-CN"/>
        </w:rPr>
        <w:t>From April 1, 2023 to June 30, 2023, Industrial Bonds worth a total of RMB 412,000 yuan were converted into the Company</w:t>
      </w:r>
      <w:r w:rsidR="00240145" w:rsidRPr="00A84073">
        <w:rPr>
          <w:rFonts w:ascii="Times New Roman" w:hAnsi="Times New Roman" w:cs="Times New Roman"/>
          <w:spacing w:val="3"/>
          <w:lang w:eastAsia="zh-CN"/>
        </w:rPr>
        <w:t>’</w:t>
      </w:r>
      <w:r w:rsidRPr="00A84073">
        <w:rPr>
          <w:rFonts w:ascii="Times New Roman" w:hAnsi="Times New Roman" w:cs="Times New Roman"/>
          <w:spacing w:val="3"/>
          <w:lang w:eastAsia="zh-CN"/>
        </w:rPr>
        <w:t>s A-share ordinary shares, and the conversion created 16,950 shares. By June 30, 2023, Industrial Convertible Bonds worth a cumulative RMB 2,212,000 yuan were converted into the Company</w:t>
      </w:r>
      <w:r w:rsidR="00240145" w:rsidRPr="00A84073">
        <w:rPr>
          <w:rFonts w:ascii="Times New Roman" w:hAnsi="Times New Roman" w:cs="Times New Roman"/>
          <w:spacing w:val="3"/>
          <w:lang w:eastAsia="zh-CN"/>
        </w:rPr>
        <w:t>’</w:t>
      </w:r>
      <w:r w:rsidRPr="00A84073">
        <w:rPr>
          <w:rFonts w:ascii="Times New Roman" w:hAnsi="Times New Roman" w:cs="Times New Roman"/>
          <w:spacing w:val="3"/>
          <w:lang w:eastAsia="zh-CN"/>
        </w:rPr>
        <w:t>s A-share ordinary shares, and the conversion created a cumulative number of 89,855 shares, accounting for 0.00043% of the ordinary shares issued by the Company.</w:t>
      </w:r>
    </w:p>
    <w:p w14:paraId="1FC2D9EA" w14:textId="485F78CE" w:rsidR="003F58AD" w:rsidRPr="00A84073" w:rsidRDefault="0067216C" w:rsidP="00A84073">
      <w:pPr>
        <w:pStyle w:val="a3"/>
        <w:spacing w:before="183" w:line="360" w:lineRule="auto"/>
        <w:ind w:left="123" w:right="112" w:firstLine="478"/>
        <w:jc w:val="both"/>
        <w:rPr>
          <w:rFonts w:ascii="Times New Roman" w:hAnsi="Times New Roman" w:cs="Times New Roman"/>
          <w:spacing w:val="3"/>
          <w:lang w:eastAsia="zh-CN"/>
        </w:rPr>
      </w:pPr>
      <w:r w:rsidRPr="00A84073">
        <w:rPr>
          <w:rFonts w:ascii="Times New Roman" w:hAnsi="Times New Roman" w:cs="Times New Roman"/>
          <w:spacing w:val="3"/>
          <w:lang w:eastAsia="zh-CN"/>
        </w:rPr>
        <w:t>By June 30, 2023, the amount of Industrial Convertible Bonds not yet converted into shares stood at RMB 49,997,788,000 yuan, accounting for 99.99558% of the total issuance of Industrial Convertible Bonds.</w:t>
      </w:r>
    </w:p>
    <w:p w14:paraId="6F9A5176" w14:textId="489CE88E" w:rsidR="00AB4BC3" w:rsidRPr="007912BA" w:rsidRDefault="00AB4BC3" w:rsidP="001B1F11">
      <w:pPr>
        <w:pStyle w:val="a3"/>
        <w:spacing w:before="183" w:line="360" w:lineRule="auto"/>
        <w:ind w:right="112" w:firstLineChars="50" w:firstLine="115"/>
        <w:jc w:val="both"/>
        <w:rPr>
          <w:rFonts w:ascii="Times New Roman" w:hAnsi="Times New Roman" w:cs="Times New Roman"/>
          <w:b/>
          <w:bCs/>
          <w:spacing w:val="-11"/>
          <w:lang w:eastAsia="zh-CN"/>
        </w:rPr>
      </w:pPr>
      <w:r w:rsidRPr="007912BA">
        <w:rPr>
          <w:rFonts w:ascii="Times New Roman" w:hAnsi="Times New Roman" w:cs="Times New Roman"/>
          <w:b/>
          <w:bCs/>
          <w:spacing w:val="-11"/>
          <w:lang w:eastAsia="zh-CN"/>
        </w:rPr>
        <w:t xml:space="preserve">III. </w:t>
      </w:r>
      <w:r w:rsidRPr="001B1F11">
        <w:rPr>
          <w:rFonts w:ascii="Times New Roman" w:hAnsi="Times New Roman" w:cs="Times New Roman"/>
          <w:b/>
          <w:bCs/>
          <w:spacing w:val="3"/>
          <w:lang w:eastAsia="zh-CN"/>
        </w:rPr>
        <w:t>Change</w:t>
      </w:r>
      <w:r w:rsidR="007F450C">
        <w:rPr>
          <w:rFonts w:ascii="Times New Roman" w:hAnsi="Times New Roman" w:cs="Times New Roman"/>
          <w:b/>
          <w:bCs/>
          <w:spacing w:val="3"/>
          <w:lang w:eastAsia="zh-CN"/>
        </w:rPr>
        <w:t>s in Share Capital</w:t>
      </w:r>
    </w:p>
    <w:p w14:paraId="2EF84CE2" w14:textId="4F3F592E" w:rsidR="00AB4BC3" w:rsidRPr="00C51B25" w:rsidRDefault="00AB4BC3" w:rsidP="00AB4BC3">
      <w:pPr>
        <w:pStyle w:val="a3"/>
        <w:spacing w:before="200" w:line="221" w:lineRule="auto"/>
        <w:jc w:val="right"/>
        <w:rPr>
          <w:rFonts w:ascii="Times New Roman" w:hAnsi="Times New Roman" w:cs="Times New Roman"/>
          <w:spacing w:val="3"/>
          <w:sz w:val="22"/>
          <w:szCs w:val="22"/>
          <w:lang w:eastAsia="zh-CN"/>
        </w:rPr>
      </w:pPr>
      <w:r w:rsidRPr="00C51B25">
        <w:rPr>
          <w:rFonts w:ascii="Times New Roman" w:hAnsi="Times New Roman" w:cs="Times New Roman"/>
          <w:spacing w:val="3"/>
          <w:sz w:val="22"/>
          <w:szCs w:val="22"/>
          <w:lang w:eastAsia="zh-CN"/>
        </w:rPr>
        <w:t xml:space="preserve">(Numbers </w:t>
      </w:r>
      <w:r w:rsidR="00A84073" w:rsidRPr="00C51B25">
        <w:rPr>
          <w:rFonts w:ascii="Times New Roman" w:hAnsi="Times New Roman" w:cs="Times New Roman"/>
          <w:spacing w:val="3"/>
          <w:sz w:val="22"/>
          <w:szCs w:val="22"/>
          <w:lang w:eastAsia="zh-CN"/>
        </w:rPr>
        <w:t>are</w:t>
      </w:r>
      <w:r w:rsidRPr="00C51B25">
        <w:rPr>
          <w:rFonts w:ascii="Times New Roman" w:hAnsi="Times New Roman" w:cs="Times New Roman"/>
          <w:spacing w:val="3"/>
          <w:sz w:val="22"/>
          <w:szCs w:val="22"/>
          <w:lang w:eastAsia="zh-CN"/>
        </w:rPr>
        <w:t xml:space="preserve"> shares)</w:t>
      </w:r>
    </w:p>
    <w:tbl>
      <w:tblPr>
        <w:tblStyle w:val="TableNormal"/>
        <w:tblW w:w="872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5"/>
        <w:gridCol w:w="1959"/>
        <w:gridCol w:w="2178"/>
        <w:gridCol w:w="2183"/>
      </w:tblGrid>
      <w:tr w:rsidR="004D42A2" w:rsidRPr="00B00722" w14:paraId="3280D789" w14:textId="77777777" w:rsidTr="00EE1868">
        <w:trPr>
          <w:trHeight w:val="631"/>
        </w:trPr>
        <w:tc>
          <w:tcPr>
            <w:tcW w:w="2405" w:type="dxa"/>
          </w:tcPr>
          <w:p w14:paraId="72FCE2C2" w14:textId="337019F3" w:rsidR="004D42A2" w:rsidRPr="002E479A" w:rsidRDefault="002D2ED1" w:rsidP="002E479A">
            <w:pPr>
              <w:pStyle w:val="TableText"/>
              <w:spacing w:before="211" w:line="220" w:lineRule="auto"/>
              <w:jc w:val="center"/>
              <w:rPr>
                <w:rFonts w:ascii="Times New Roman" w:hAnsi="Times New Roman" w:cs="Times New Roman"/>
                <w:b/>
                <w:bCs/>
                <w:noProof w:val="0"/>
                <w:sz w:val="20"/>
                <w:szCs w:val="20"/>
              </w:rPr>
            </w:pPr>
            <w:r w:rsidRPr="002E479A">
              <w:rPr>
                <w:rFonts w:ascii="Times New Roman" w:hAnsi="Times New Roman" w:cs="Times New Roman"/>
                <w:b/>
                <w:bCs/>
                <w:noProof w:val="0"/>
                <w:sz w:val="20"/>
                <w:szCs w:val="20"/>
              </w:rPr>
              <w:t>Class</w:t>
            </w:r>
            <w:r>
              <w:rPr>
                <w:rFonts w:ascii="Times New Roman" w:hAnsi="Times New Roman" w:cs="Times New Roman"/>
                <w:b/>
                <w:bCs/>
                <w:noProof w:val="0"/>
                <w:sz w:val="20"/>
                <w:szCs w:val="20"/>
              </w:rPr>
              <w:t xml:space="preserve"> of </w:t>
            </w:r>
            <w:r w:rsidRPr="002E479A">
              <w:rPr>
                <w:rFonts w:ascii="Times New Roman" w:hAnsi="Times New Roman" w:cs="Times New Roman"/>
                <w:b/>
                <w:bCs/>
                <w:noProof w:val="0"/>
                <w:sz w:val="20"/>
                <w:szCs w:val="20"/>
              </w:rPr>
              <w:t>share</w:t>
            </w:r>
          </w:p>
        </w:tc>
        <w:tc>
          <w:tcPr>
            <w:tcW w:w="1959" w:type="dxa"/>
          </w:tcPr>
          <w:p w14:paraId="50D388EC" w14:textId="37C73803" w:rsidR="004D42A2" w:rsidRPr="00B00722" w:rsidRDefault="00AE2510" w:rsidP="004858AD">
            <w:pPr>
              <w:pStyle w:val="TableText"/>
              <w:spacing w:before="211" w:line="220" w:lineRule="auto"/>
              <w:jc w:val="center"/>
              <w:rPr>
                <w:rFonts w:ascii="Times New Roman" w:hAnsi="Times New Roman" w:cs="Times New Roman"/>
                <w:b/>
                <w:bCs/>
              </w:rPr>
            </w:pPr>
            <w:r w:rsidRPr="00B00722">
              <w:rPr>
                <w:rFonts w:ascii="Times New Roman" w:hAnsi="Times New Roman" w:cs="Times New Roman"/>
                <w:b/>
                <w:bCs/>
                <w:noProof w:val="0"/>
                <w:sz w:val="20"/>
                <w:szCs w:val="20"/>
              </w:rPr>
              <w:t>Prior to change</w:t>
            </w:r>
            <w:r w:rsidR="00BD13A3">
              <w:rPr>
                <w:rFonts w:ascii="Times New Roman" w:hAnsi="Times New Roman" w:cs="Times New Roman"/>
                <w:b/>
                <w:bCs/>
                <w:noProof w:val="0"/>
                <w:sz w:val="20"/>
                <w:szCs w:val="20"/>
              </w:rPr>
              <w:t xml:space="preserve">               </w:t>
            </w:r>
            <w:r w:rsidRPr="00B00722">
              <w:rPr>
                <w:rFonts w:ascii="Times New Roman" w:hAnsi="Times New Roman" w:cs="Times New Roman"/>
                <w:b/>
                <w:bCs/>
                <w:noProof w:val="0"/>
                <w:sz w:val="20"/>
                <w:szCs w:val="20"/>
              </w:rPr>
              <w:t xml:space="preserve"> (March 31, 2023)</w:t>
            </w:r>
          </w:p>
        </w:tc>
        <w:tc>
          <w:tcPr>
            <w:tcW w:w="2178" w:type="dxa"/>
          </w:tcPr>
          <w:p w14:paraId="5E389BE7" w14:textId="796C635E" w:rsidR="004D42A2" w:rsidRPr="004858AD" w:rsidRDefault="00AE2510" w:rsidP="004858AD">
            <w:pPr>
              <w:pStyle w:val="TableText"/>
              <w:spacing w:before="211" w:line="220" w:lineRule="auto"/>
              <w:jc w:val="center"/>
              <w:rPr>
                <w:rFonts w:ascii="Times New Roman" w:hAnsi="Times New Roman" w:cs="Times New Roman"/>
                <w:b/>
                <w:bCs/>
                <w:noProof w:val="0"/>
                <w:sz w:val="20"/>
                <w:szCs w:val="20"/>
              </w:rPr>
            </w:pPr>
            <w:r w:rsidRPr="004858AD">
              <w:rPr>
                <w:rFonts w:ascii="Times New Roman" w:hAnsi="Times New Roman" w:cs="Times New Roman"/>
                <w:b/>
                <w:bCs/>
                <w:noProof w:val="0"/>
                <w:sz w:val="20"/>
                <w:szCs w:val="20"/>
              </w:rPr>
              <w:t>Current conversion of convertible bonds into shares</w:t>
            </w:r>
          </w:p>
        </w:tc>
        <w:tc>
          <w:tcPr>
            <w:tcW w:w="2183" w:type="dxa"/>
          </w:tcPr>
          <w:p w14:paraId="704C19A6" w14:textId="0DA827FB" w:rsidR="004D42A2" w:rsidRPr="003819C5" w:rsidRDefault="00AE2510" w:rsidP="00D50DEA">
            <w:pPr>
              <w:pStyle w:val="TableText"/>
              <w:spacing w:before="211" w:line="220" w:lineRule="auto"/>
              <w:jc w:val="center"/>
              <w:rPr>
                <w:rFonts w:ascii="Times New Roman" w:hAnsi="Times New Roman" w:cs="Times New Roman"/>
                <w:b/>
                <w:bCs/>
                <w:noProof w:val="0"/>
                <w:sz w:val="20"/>
                <w:szCs w:val="20"/>
              </w:rPr>
            </w:pPr>
            <w:r w:rsidRPr="00B00722">
              <w:rPr>
                <w:rFonts w:ascii="Times New Roman" w:hAnsi="Times New Roman" w:cs="Times New Roman"/>
                <w:b/>
                <w:bCs/>
                <w:noProof w:val="0"/>
                <w:sz w:val="20"/>
                <w:szCs w:val="20"/>
              </w:rPr>
              <w:t>After change (June 30, 2023)</w:t>
            </w:r>
          </w:p>
        </w:tc>
      </w:tr>
      <w:tr w:rsidR="00EF2D96" w:rsidRPr="008A67C3" w14:paraId="1A3F0327" w14:textId="77777777" w:rsidTr="00EE1868">
        <w:trPr>
          <w:trHeight w:val="315"/>
        </w:trPr>
        <w:tc>
          <w:tcPr>
            <w:tcW w:w="2405" w:type="dxa"/>
          </w:tcPr>
          <w:p w14:paraId="13D981B5" w14:textId="719CDB38" w:rsidR="00EF2D96" w:rsidRPr="00FB34CE" w:rsidRDefault="00FB34CE" w:rsidP="00FB34CE">
            <w:pPr>
              <w:pStyle w:val="TableText"/>
              <w:spacing w:before="54" w:line="221" w:lineRule="auto"/>
              <w:ind w:left="117"/>
              <w:rPr>
                <w:rFonts w:ascii="Times New Roman" w:hAnsi="Times New Roman" w:cs="Times New Roman"/>
                <w:noProof w:val="0"/>
                <w:sz w:val="20"/>
                <w:szCs w:val="20"/>
              </w:rPr>
            </w:pPr>
            <w:r w:rsidRPr="00FB34CE">
              <w:rPr>
                <w:rFonts w:ascii="Times New Roman" w:hAnsi="Times New Roman" w:cs="Times New Roman" w:hint="eastAsia"/>
                <w:noProof w:val="0"/>
                <w:sz w:val="20"/>
                <w:szCs w:val="20"/>
              </w:rPr>
              <w:lastRenderedPageBreak/>
              <w:t>R</w:t>
            </w:r>
            <w:r w:rsidRPr="00FB34CE">
              <w:rPr>
                <w:rFonts w:ascii="Times New Roman" w:hAnsi="Times New Roman" w:cs="Times New Roman"/>
                <w:noProof w:val="0"/>
                <w:sz w:val="20"/>
                <w:szCs w:val="20"/>
              </w:rPr>
              <w:t>estricted outstanding shares</w:t>
            </w:r>
          </w:p>
        </w:tc>
        <w:tc>
          <w:tcPr>
            <w:tcW w:w="1959" w:type="dxa"/>
          </w:tcPr>
          <w:p w14:paraId="1A51B58D" w14:textId="77777777" w:rsidR="00EF2D96" w:rsidRPr="008A67C3" w:rsidRDefault="00EF2D96" w:rsidP="00EF2D96">
            <w:pPr>
              <w:pStyle w:val="TableText"/>
              <w:spacing w:before="154" w:line="141" w:lineRule="exact"/>
              <w:ind w:left="1968"/>
              <w:rPr>
                <w:rFonts w:ascii="Times New Roman" w:hAnsi="Times New Roman" w:cs="Times New Roman"/>
              </w:rPr>
            </w:pPr>
            <w:r w:rsidRPr="008A67C3">
              <w:rPr>
                <w:rFonts w:ascii="Times New Roman" w:hAnsi="Times New Roman" w:cs="Times New Roman"/>
                <w:position w:val="-3"/>
              </w:rPr>
              <w:t>-</w:t>
            </w:r>
          </w:p>
        </w:tc>
        <w:tc>
          <w:tcPr>
            <w:tcW w:w="2178" w:type="dxa"/>
          </w:tcPr>
          <w:p w14:paraId="4BAEAFEC" w14:textId="77777777" w:rsidR="00EF2D96" w:rsidRPr="008A67C3" w:rsidRDefault="00EF2D96" w:rsidP="00EF2D96">
            <w:pPr>
              <w:pStyle w:val="TableText"/>
              <w:spacing w:before="154" w:line="141" w:lineRule="exact"/>
              <w:ind w:left="1967"/>
              <w:rPr>
                <w:rFonts w:ascii="Times New Roman" w:hAnsi="Times New Roman" w:cs="Times New Roman"/>
              </w:rPr>
            </w:pPr>
            <w:r w:rsidRPr="008A67C3">
              <w:rPr>
                <w:rFonts w:ascii="Times New Roman" w:hAnsi="Times New Roman" w:cs="Times New Roman"/>
                <w:position w:val="-3"/>
              </w:rPr>
              <w:t>-</w:t>
            </w:r>
          </w:p>
        </w:tc>
        <w:tc>
          <w:tcPr>
            <w:tcW w:w="2183" w:type="dxa"/>
          </w:tcPr>
          <w:p w14:paraId="079FD870" w14:textId="77777777" w:rsidR="00EF2D96" w:rsidRPr="008A67C3" w:rsidRDefault="00EF2D96" w:rsidP="00EF2D96">
            <w:pPr>
              <w:tabs>
                <w:tab w:val="left" w:pos="2070"/>
              </w:tabs>
              <w:spacing w:line="202" w:lineRule="exact"/>
              <w:ind w:left="1971"/>
              <w:rPr>
                <w:rFonts w:ascii="Times New Roman" w:hAnsi="Times New Roman" w:cs="Times New Roman"/>
              </w:rPr>
            </w:pPr>
            <w:r w:rsidRPr="008A67C3">
              <w:rPr>
                <w:rFonts w:ascii="Times New Roman" w:eastAsia="Arial" w:hAnsi="Times New Roman" w:cs="Times New Roman"/>
                <w:position w:val="-2"/>
                <w:u w:val="single"/>
              </w:rPr>
              <w:tab/>
            </w:r>
          </w:p>
        </w:tc>
      </w:tr>
      <w:tr w:rsidR="00EF2D96" w:rsidRPr="008A67C3" w14:paraId="01A98712" w14:textId="77777777" w:rsidTr="00EE1868">
        <w:trPr>
          <w:trHeight w:val="316"/>
        </w:trPr>
        <w:tc>
          <w:tcPr>
            <w:tcW w:w="2405" w:type="dxa"/>
          </w:tcPr>
          <w:p w14:paraId="7E68A710" w14:textId="546D7C54" w:rsidR="00EF2D96" w:rsidRPr="00215055" w:rsidRDefault="00215055" w:rsidP="00EF2D96">
            <w:pPr>
              <w:pStyle w:val="TableText"/>
              <w:spacing w:before="54" w:line="221" w:lineRule="auto"/>
              <w:ind w:left="117"/>
              <w:rPr>
                <w:rFonts w:ascii="Times New Roman" w:hAnsi="Times New Roman" w:cs="Times New Roman"/>
                <w:noProof w:val="0"/>
                <w:sz w:val="20"/>
                <w:szCs w:val="20"/>
              </w:rPr>
            </w:pPr>
            <w:r w:rsidRPr="00215055">
              <w:rPr>
                <w:rFonts w:ascii="Times New Roman" w:hAnsi="Times New Roman" w:cs="Times New Roman"/>
                <w:noProof w:val="0"/>
                <w:sz w:val="20"/>
                <w:szCs w:val="20"/>
              </w:rPr>
              <w:t>Unrestricted outstanding shares</w:t>
            </w:r>
          </w:p>
        </w:tc>
        <w:tc>
          <w:tcPr>
            <w:tcW w:w="1959" w:type="dxa"/>
          </w:tcPr>
          <w:p w14:paraId="0FDDFDFC" w14:textId="77777777" w:rsidR="00EF2D96" w:rsidRPr="008A67C3" w:rsidRDefault="00EF2D96" w:rsidP="00EF2D96">
            <w:pPr>
              <w:pStyle w:val="TableText"/>
              <w:spacing w:before="90" w:line="182" w:lineRule="auto"/>
              <w:ind w:left="607"/>
              <w:rPr>
                <w:rFonts w:ascii="Times New Roman" w:hAnsi="Times New Roman" w:cs="Times New Roman"/>
              </w:rPr>
            </w:pPr>
            <w:r w:rsidRPr="008A67C3">
              <w:rPr>
                <w:rFonts w:ascii="Times New Roman" w:hAnsi="Times New Roman" w:cs="Times New Roman"/>
                <w:spacing w:val="-1"/>
              </w:rPr>
              <w:t>20,774,263,656</w:t>
            </w:r>
          </w:p>
        </w:tc>
        <w:tc>
          <w:tcPr>
            <w:tcW w:w="2178" w:type="dxa"/>
          </w:tcPr>
          <w:p w14:paraId="5265790C" w14:textId="77777777" w:rsidR="00EF2D96" w:rsidRPr="008A67C3" w:rsidRDefault="00EF2D96" w:rsidP="00EF2D96">
            <w:pPr>
              <w:pStyle w:val="TableText"/>
              <w:spacing w:before="89" w:line="183" w:lineRule="auto"/>
              <w:ind w:left="1458"/>
              <w:rPr>
                <w:rFonts w:ascii="Times New Roman" w:hAnsi="Times New Roman" w:cs="Times New Roman"/>
              </w:rPr>
            </w:pPr>
            <w:r w:rsidRPr="008A67C3">
              <w:rPr>
                <w:rFonts w:ascii="Times New Roman" w:hAnsi="Times New Roman" w:cs="Times New Roman"/>
                <w:spacing w:val="-3"/>
              </w:rPr>
              <w:t>16,950</w:t>
            </w:r>
          </w:p>
        </w:tc>
        <w:tc>
          <w:tcPr>
            <w:tcW w:w="2183" w:type="dxa"/>
          </w:tcPr>
          <w:p w14:paraId="19E1ACA9" w14:textId="77777777" w:rsidR="00EF2D96" w:rsidRPr="008A67C3" w:rsidRDefault="00EF2D96" w:rsidP="00EF2D96">
            <w:pPr>
              <w:pStyle w:val="TableText"/>
              <w:spacing w:before="90" w:line="182" w:lineRule="auto"/>
              <w:ind w:left="609"/>
              <w:rPr>
                <w:rFonts w:ascii="Times New Roman" w:hAnsi="Times New Roman" w:cs="Times New Roman"/>
              </w:rPr>
            </w:pPr>
            <w:r w:rsidRPr="008A67C3">
              <w:rPr>
                <w:rFonts w:ascii="Times New Roman" w:hAnsi="Times New Roman" w:cs="Times New Roman"/>
                <w:spacing w:val="-1"/>
              </w:rPr>
              <w:t>20,774,280,606</w:t>
            </w:r>
          </w:p>
        </w:tc>
      </w:tr>
      <w:tr w:rsidR="004D42A2" w:rsidRPr="008A67C3" w14:paraId="346BCD7D" w14:textId="77777777" w:rsidTr="00EE1868">
        <w:trPr>
          <w:trHeight w:val="323"/>
        </w:trPr>
        <w:tc>
          <w:tcPr>
            <w:tcW w:w="2405" w:type="dxa"/>
          </w:tcPr>
          <w:p w14:paraId="5FAF6F71" w14:textId="2299577A" w:rsidR="004D42A2" w:rsidRPr="00C9691A" w:rsidRDefault="00AE2510" w:rsidP="000457C0">
            <w:pPr>
              <w:pStyle w:val="TableText"/>
              <w:spacing w:before="58" w:line="220" w:lineRule="auto"/>
              <w:ind w:left="121"/>
              <w:rPr>
                <w:rFonts w:ascii="Times New Roman" w:hAnsi="Times New Roman" w:cs="Times New Roman"/>
                <w:b/>
                <w:bCs/>
              </w:rPr>
            </w:pPr>
            <w:r w:rsidRPr="00C9691A">
              <w:rPr>
                <w:rFonts w:ascii="Times New Roman" w:hAnsi="Times New Roman" w:cs="Times New Roman"/>
                <w:b/>
                <w:bCs/>
                <w:noProof w:val="0"/>
                <w:sz w:val="20"/>
                <w:szCs w:val="20"/>
              </w:rPr>
              <w:t>Total stock issued</w:t>
            </w:r>
          </w:p>
        </w:tc>
        <w:tc>
          <w:tcPr>
            <w:tcW w:w="1959" w:type="dxa"/>
          </w:tcPr>
          <w:p w14:paraId="68531AD7" w14:textId="77777777" w:rsidR="004D42A2" w:rsidRPr="008A67C3" w:rsidRDefault="004D42A2" w:rsidP="000457C0">
            <w:pPr>
              <w:pStyle w:val="TableText"/>
              <w:spacing w:before="93" w:line="182" w:lineRule="auto"/>
              <w:ind w:left="597"/>
              <w:rPr>
                <w:rFonts w:ascii="Times New Roman" w:hAnsi="Times New Roman" w:cs="Times New Roman"/>
              </w:rPr>
            </w:pPr>
            <w:r w:rsidRPr="008A67C3">
              <w:rPr>
                <w:rFonts w:ascii="Times New Roman" w:hAnsi="Times New Roman" w:cs="Times New Roman"/>
                <w:spacing w:val="-1"/>
                <w14:textOutline w14:w="3835" w14:cap="flat" w14:cmpd="sng" w14:algn="ctr">
                  <w14:solidFill>
                    <w14:srgbClr w14:val="000000"/>
                  </w14:solidFill>
                  <w14:prstDash w14:val="solid"/>
                  <w14:miter w14:lim="10"/>
                </w14:textOutline>
              </w:rPr>
              <w:t>20,774,263,656</w:t>
            </w:r>
          </w:p>
        </w:tc>
        <w:tc>
          <w:tcPr>
            <w:tcW w:w="2178" w:type="dxa"/>
          </w:tcPr>
          <w:p w14:paraId="573998C6" w14:textId="77777777" w:rsidR="004D42A2" w:rsidRPr="008A67C3" w:rsidRDefault="004D42A2" w:rsidP="000457C0">
            <w:pPr>
              <w:pStyle w:val="TableText"/>
              <w:spacing w:before="92" w:line="183" w:lineRule="auto"/>
              <w:ind w:left="1454"/>
              <w:rPr>
                <w:rFonts w:ascii="Times New Roman" w:hAnsi="Times New Roman" w:cs="Times New Roman"/>
              </w:rPr>
            </w:pPr>
            <w:r w:rsidRPr="008A67C3">
              <w:rPr>
                <w:rFonts w:ascii="Times New Roman" w:hAnsi="Times New Roman" w:cs="Times New Roman"/>
                <w:spacing w:val="-4"/>
                <w14:textOutline w14:w="3835" w14:cap="flat" w14:cmpd="sng" w14:algn="ctr">
                  <w14:solidFill>
                    <w14:srgbClr w14:val="000000"/>
                  </w14:solidFill>
                  <w14:prstDash w14:val="solid"/>
                  <w14:miter w14:lim="10"/>
                </w14:textOutline>
              </w:rPr>
              <w:t>16,950</w:t>
            </w:r>
          </w:p>
        </w:tc>
        <w:tc>
          <w:tcPr>
            <w:tcW w:w="2183" w:type="dxa"/>
          </w:tcPr>
          <w:p w14:paraId="57A6C8A2" w14:textId="77777777" w:rsidR="004D42A2" w:rsidRPr="008A67C3" w:rsidRDefault="004D42A2" w:rsidP="000457C0">
            <w:pPr>
              <w:pStyle w:val="TableText"/>
              <w:spacing w:before="93" w:line="182" w:lineRule="auto"/>
              <w:ind w:left="599"/>
              <w:rPr>
                <w:rFonts w:ascii="Times New Roman" w:hAnsi="Times New Roman" w:cs="Times New Roman"/>
              </w:rPr>
            </w:pPr>
            <w:r w:rsidRPr="008A67C3">
              <w:rPr>
                <w:rFonts w:ascii="Times New Roman" w:hAnsi="Times New Roman" w:cs="Times New Roman"/>
                <w:spacing w:val="-1"/>
                <w14:textOutline w14:w="3835" w14:cap="flat" w14:cmpd="sng" w14:algn="ctr">
                  <w14:solidFill>
                    <w14:srgbClr w14:val="000000"/>
                  </w14:solidFill>
                  <w14:prstDash w14:val="solid"/>
                  <w14:miter w14:lim="10"/>
                </w14:textOutline>
              </w:rPr>
              <w:t>20,774,280,606</w:t>
            </w:r>
          </w:p>
        </w:tc>
      </w:tr>
    </w:tbl>
    <w:p w14:paraId="3573FA2A" w14:textId="544945D9" w:rsidR="00B6767C" w:rsidRPr="008A67C3" w:rsidRDefault="00B6767C" w:rsidP="00B6767C">
      <w:pPr>
        <w:widowControl w:val="0"/>
        <w:kinsoku/>
        <w:snapToGrid/>
        <w:textAlignment w:val="auto"/>
        <w:rPr>
          <w:rFonts w:ascii="Times New Roman" w:hAnsi="Times New Roman" w:cs="Times New Roman"/>
          <w:noProof w:val="0"/>
          <w:sz w:val="20"/>
          <w:szCs w:val="20"/>
          <w:lang w:val="zh-CN"/>
        </w:rPr>
      </w:pPr>
    </w:p>
    <w:p w14:paraId="72A7DCBA" w14:textId="5C99B8C3" w:rsidR="00B6767C" w:rsidRPr="008A67C3" w:rsidRDefault="00B6767C" w:rsidP="00B6767C">
      <w:pPr>
        <w:widowControl w:val="0"/>
        <w:kinsoku/>
        <w:snapToGrid/>
        <w:textAlignment w:val="auto"/>
        <w:rPr>
          <w:rFonts w:ascii="Times New Roman" w:hAnsi="Times New Roman" w:cs="Times New Roman"/>
          <w:noProof w:val="0"/>
          <w:sz w:val="20"/>
          <w:szCs w:val="20"/>
        </w:rPr>
      </w:pPr>
    </w:p>
    <w:p w14:paraId="3CF5C57B" w14:textId="77777777" w:rsidR="00B6767C" w:rsidRPr="001B1F11" w:rsidRDefault="00B6767C" w:rsidP="001B1F11">
      <w:pPr>
        <w:pStyle w:val="a3"/>
        <w:spacing w:before="183" w:line="360" w:lineRule="auto"/>
        <w:ind w:right="112" w:firstLineChars="50" w:firstLine="122"/>
        <w:jc w:val="both"/>
        <w:rPr>
          <w:rFonts w:ascii="Times New Roman" w:hAnsi="Times New Roman" w:cs="Times New Roman"/>
          <w:b/>
          <w:bCs/>
          <w:spacing w:val="3"/>
          <w:lang w:eastAsia="zh-CN"/>
        </w:rPr>
      </w:pPr>
      <w:r w:rsidRPr="001B1F11">
        <w:rPr>
          <w:rFonts w:ascii="Times New Roman" w:hAnsi="Times New Roman" w:cs="Times New Roman"/>
          <w:b/>
          <w:bCs/>
          <w:spacing w:val="3"/>
          <w:lang w:eastAsia="zh-CN"/>
        </w:rPr>
        <w:t>IV. Other Information</w:t>
      </w:r>
    </w:p>
    <w:p w14:paraId="3BA5C358" w14:textId="77777777" w:rsidR="00B6767C" w:rsidRPr="001B1F11" w:rsidRDefault="00B6767C" w:rsidP="0005176A">
      <w:pPr>
        <w:pStyle w:val="a3"/>
        <w:spacing w:before="183" w:line="360" w:lineRule="auto"/>
        <w:ind w:right="112" w:firstLineChars="50" w:firstLine="119"/>
        <w:jc w:val="both"/>
        <w:rPr>
          <w:rFonts w:ascii="Times New Roman" w:hAnsi="Times New Roman" w:cs="Times New Roman"/>
          <w:spacing w:val="-1"/>
          <w:lang w:eastAsia="zh-CN"/>
        </w:rPr>
      </w:pPr>
      <w:r w:rsidRPr="001B1F11">
        <w:rPr>
          <w:rFonts w:ascii="Times New Roman" w:hAnsi="Times New Roman" w:cs="Times New Roman"/>
          <w:spacing w:val="-1"/>
          <w:lang w:eastAsia="zh-CN"/>
        </w:rPr>
        <w:t>Liaison Department: Office of the Board of Directors, Industrial Bank</w:t>
      </w:r>
    </w:p>
    <w:p w14:paraId="6143E1A1" w14:textId="6A7AB748" w:rsidR="00B6767C" w:rsidRPr="001B1F11" w:rsidRDefault="00B6767C" w:rsidP="0005176A">
      <w:pPr>
        <w:pStyle w:val="a3"/>
        <w:spacing w:before="183" w:line="360" w:lineRule="auto"/>
        <w:ind w:right="112" w:firstLineChars="50" w:firstLine="121"/>
        <w:jc w:val="both"/>
        <w:rPr>
          <w:rFonts w:ascii="Times New Roman" w:hAnsi="Times New Roman" w:cs="Times New Roman"/>
          <w:spacing w:val="-1"/>
          <w:lang w:eastAsia="zh-CN"/>
        </w:rPr>
      </w:pPr>
      <w:r w:rsidRPr="0005176A">
        <w:rPr>
          <w:rFonts w:ascii="Times New Roman" w:hAnsi="Times New Roman" w:cs="Times New Roman"/>
          <w:spacing w:val="3"/>
          <w:lang w:eastAsia="zh-CN"/>
        </w:rPr>
        <w:t>Telephone</w:t>
      </w:r>
      <w:r w:rsidRPr="001B1F11">
        <w:rPr>
          <w:rFonts w:ascii="Times New Roman" w:hAnsi="Times New Roman" w:cs="Times New Roman"/>
          <w:spacing w:val="-1"/>
          <w:lang w:eastAsia="zh-CN"/>
        </w:rPr>
        <w:t>:</w:t>
      </w:r>
      <w:r w:rsidR="00E86832" w:rsidRPr="001B1F11">
        <w:rPr>
          <w:rFonts w:ascii="Times New Roman" w:hAnsi="Times New Roman" w:cs="Times New Roman"/>
          <w:spacing w:val="-1"/>
          <w:lang w:eastAsia="zh-CN"/>
        </w:rPr>
        <w:t xml:space="preserve"> 0591-87824863</w:t>
      </w:r>
    </w:p>
    <w:p w14:paraId="03DADDB6" w14:textId="77777777" w:rsidR="003F58AD" w:rsidRPr="008A67C3" w:rsidRDefault="003F58AD">
      <w:pPr>
        <w:spacing w:line="463" w:lineRule="auto"/>
        <w:rPr>
          <w:rFonts w:ascii="Times New Roman" w:hAnsi="Times New Roman" w:cs="Times New Roman"/>
          <w:lang w:eastAsia="zh-CN"/>
        </w:rPr>
      </w:pPr>
    </w:p>
    <w:p w14:paraId="2DCE4262" w14:textId="77777777" w:rsidR="001B1F11" w:rsidRPr="001B1F11" w:rsidRDefault="001B1F11" w:rsidP="001B1F11">
      <w:pPr>
        <w:pStyle w:val="a3"/>
        <w:spacing w:before="182" w:line="219" w:lineRule="auto"/>
        <w:jc w:val="right"/>
        <w:rPr>
          <w:rFonts w:ascii="Times New Roman" w:hAnsi="Times New Roman" w:cs="Times New Roman"/>
          <w:spacing w:val="-1"/>
          <w:lang w:eastAsia="zh-CN"/>
        </w:rPr>
      </w:pPr>
      <w:r w:rsidRPr="001B1F11">
        <w:rPr>
          <w:rFonts w:ascii="Times New Roman" w:hAnsi="Times New Roman" w:cs="Times New Roman"/>
          <w:spacing w:val="-1"/>
          <w:lang w:eastAsia="zh-CN"/>
        </w:rPr>
        <w:t>Board of Directors of Industrial Bank Co., Ltd.</w:t>
      </w:r>
    </w:p>
    <w:p w14:paraId="5CD56ED5" w14:textId="77777777" w:rsidR="001B1F11" w:rsidRPr="001B1F11" w:rsidRDefault="001B1F11" w:rsidP="001B1F11">
      <w:pPr>
        <w:pStyle w:val="a3"/>
        <w:spacing w:before="182" w:line="219" w:lineRule="auto"/>
        <w:jc w:val="right"/>
        <w:rPr>
          <w:rFonts w:ascii="Times New Roman" w:hAnsi="Times New Roman" w:cs="Times New Roman"/>
          <w:spacing w:val="-1"/>
          <w:lang w:eastAsia="zh-CN"/>
        </w:rPr>
      </w:pPr>
      <w:r w:rsidRPr="001B1F11">
        <w:rPr>
          <w:rFonts w:ascii="Times New Roman" w:hAnsi="Times New Roman" w:cs="Times New Roman"/>
          <w:spacing w:val="-1"/>
          <w:lang w:eastAsia="zh-CN"/>
        </w:rPr>
        <w:t>July 3, 2023</w:t>
      </w:r>
    </w:p>
    <w:sectPr w:rsidR="001B1F11" w:rsidRPr="001B1F11">
      <w:footerReference w:type="default" r:id="rId6"/>
      <w:pgSz w:w="11907" w:h="16839"/>
      <w:pgMar w:top="1431" w:right="1586" w:bottom="1197" w:left="1589"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E96E" w14:textId="77777777" w:rsidR="00C3038B" w:rsidRDefault="00C3038B">
      <w:r>
        <w:separator/>
      </w:r>
    </w:p>
  </w:endnote>
  <w:endnote w:type="continuationSeparator" w:id="0">
    <w:p w14:paraId="41E54CD5" w14:textId="77777777" w:rsidR="00C3038B" w:rsidRDefault="00C3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0EC3" w14:textId="77777777" w:rsidR="003F58AD" w:rsidRDefault="00000000">
    <w:pPr>
      <w:pStyle w:val="a3"/>
      <w:spacing w:line="173" w:lineRule="auto"/>
      <w:ind w:left="4321"/>
      <w:rPr>
        <w:sz w:val="21"/>
        <w:szCs w:val="21"/>
      </w:rPr>
    </w:pPr>
    <w:r>
      <w:rPr>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5C54" w14:textId="77777777" w:rsidR="00C3038B" w:rsidRDefault="00C3038B">
      <w:r>
        <w:separator/>
      </w:r>
    </w:p>
  </w:footnote>
  <w:footnote w:type="continuationSeparator" w:id="0">
    <w:p w14:paraId="27FE1A36" w14:textId="77777777" w:rsidR="00C3038B" w:rsidRDefault="00C3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79E39F-B4CC-4803-B8F8-DF2692AC8565}"/>
    <w:docVar w:name="dgnword-eventsink" w:val="890882856"/>
  </w:docVars>
  <w:rsids>
    <w:rsidRoot w:val="003F58AD"/>
    <w:rsid w:val="00012D59"/>
    <w:rsid w:val="00013182"/>
    <w:rsid w:val="0005176A"/>
    <w:rsid w:val="0008336F"/>
    <w:rsid w:val="000B0C92"/>
    <w:rsid w:val="000B3AF1"/>
    <w:rsid w:val="000C0B57"/>
    <w:rsid w:val="000D2E3E"/>
    <w:rsid w:val="00116B36"/>
    <w:rsid w:val="001216EC"/>
    <w:rsid w:val="00171A6A"/>
    <w:rsid w:val="00195B4C"/>
    <w:rsid w:val="001B1F11"/>
    <w:rsid w:val="001C0052"/>
    <w:rsid w:val="001C4716"/>
    <w:rsid w:val="001E232C"/>
    <w:rsid w:val="001E4867"/>
    <w:rsid w:val="0020270C"/>
    <w:rsid w:val="00215055"/>
    <w:rsid w:val="002200FB"/>
    <w:rsid w:val="00225822"/>
    <w:rsid w:val="00240145"/>
    <w:rsid w:val="00242813"/>
    <w:rsid w:val="0024435D"/>
    <w:rsid w:val="00251BF6"/>
    <w:rsid w:val="00262F6D"/>
    <w:rsid w:val="00270A69"/>
    <w:rsid w:val="00281C13"/>
    <w:rsid w:val="002929BC"/>
    <w:rsid w:val="002A0CE6"/>
    <w:rsid w:val="002D2ED1"/>
    <w:rsid w:val="002E31DB"/>
    <w:rsid w:val="002E479A"/>
    <w:rsid w:val="0030631E"/>
    <w:rsid w:val="0032142D"/>
    <w:rsid w:val="00336CA1"/>
    <w:rsid w:val="0034500F"/>
    <w:rsid w:val="003819C5"/>
    <w:rsid w:val="003E3936"/>
    <w:rsid w:val="003F58AD"/>
    <w:rsid w:val="00407BF9"/>
    <w:rsid w:val="00417592"/>
    <w:rsid w:val="00426B15"/>
    <w:rsid w:val="0044457D"/>
    <w:rsid w:val="00452442"/>
    <w:rsid w:val="00452B09"/>
    <w:rsid w:val="0045436E"/>
    <w:rsid w:val="0045563E"/>
    <w:rsid w:val="00467495"/>
    <w:rsid w:val="00483955"/>
    <w:rsid w:val="004858AD"/>
    <w:rsid w:val="004866A5"/>
    <w:rsid w:val="004A7CDA"/>
    <w:rsid w:val="004B6A1C"/>
    <w:rsid w:val="004C1C2E"/>
    <w:rsid w:val="004C214D"/>
    <w:rsid w:val="004C3846"/>
    <w:rsid w:val="004C5C47"/>
    <w:rsid w:val="004D42A2"/>
    <w:rsid w:val="004E2B4A"/>
    <w:rsid w:val="004F2CDA"/>
    <w:rsid w:val="004F3E33"/>
    <w:rsid w:val="00504897"/>
    <w:rsid w:val="005065F6"/>
    <w:rsid w:val="00515B12"/>
    <w:rsid w:val="005316AC"/>
    <w:rsid w:val="00545F27"/>
    <w:rsid w:val="00546A3A"/>
    <w:rsid w:val="00562D36"/>
    <w:rsid w:val="00582AFB"/>
    <w:rsid w:val="005A7EEA"/>
    <w:rsid w:val="005B43A2"/>
    <w:rsid w:val="0065297D"/>
    <w:rsid w:val="0067216C"/>
    <w:rsid w:val="00677770"/>
    <w:rsid w:val="006A0160"/>
    <w:rsid w:val="006A0513"/>
    <w:rsid w:val="006B14D9"/>
    <w:rsid w:val="006E163F"/>
    <w:rsid w:val="00722626"/>
    <w:rsid w:val="00734854"/>
    <w:rsid w:val="00783AA1"/>
    <w:rsid w:val="007912BA"/>
    <w:rsid w:val="007918B5"/>
    <w:rsid w:val="007C34DF"/>
    <w:rsid w:val="007E57DC"/>
    <w:rsid w:val="007F450C"/>
    <w:rsid w:val="008146DC"/>
    <w:rsid w:val="008258D9"/>
    <w:rsid w:val="00835A9B"/>
    <w:rsid w:val="0085167F"/>
    <w:rsid w:val="00867CDD"/>
    <w:rsid w:val="00871C24"/>
    <w:rsid w:val="008A2641"/>
    <w:rsid w:val="008A67C3"/>
    <w:rsid w:val="008C05E9"/>
    <w:rsid w:val="008C46DB"/>
    <w:rsid w:val="008D0F16"/>
    <w:rsid w:val="008D4B22"/>
    <w:rsid w:val="008E0596"/>
    <w:rsid w:val="008F5FD3"/>
    <w:rsid w:val="00907F3A"/>
    <w:rsid w:val="00917DCF"/>
    <w:rsid w:val="00941455"/>
    <w:rsid w:val="0094171D"/>
    <w:rsid w:val="00983616"/>
    <w:rsid w:val="009B4507"/>
    <w:rsid w:val="009C1F71"/>
    <w:rsid w:val="009D4708"/>
    <w:rsid w:val="009D4BB6"/>
    <w:rsid w:val="009E02AA"/>
    <w:rsid w:val="00A05A27"/>
    <w:rsid w:val="00A07840"/>
    <w:rsid w:val="00A228FB"/>
    <w:rsid w:val="00A32CAA"/>
    <w:rsid w:val="00A35A84"/>
    <w:rsid w:val="00A7433C"/>
    <w:rsid w:val="00A769A7"/>
    <w:rsid w:val="00A84073"/>
    <w:rsid w:val="00A95A6C"/>
    <w:rsid w:val="00AA5D4E"/>
    <w:rsid w:val="00AB3673"/>
    <w:rsid w:val="00AB4BC3"/>
    <w:rsid w:val="00AD250F"/>
    <w:rsid w:val="00AD402A"/>
    <w:rsid w:val="00AE2510"/>
    <w:rsid w:val="00AF1422"/>
    <w:rsid w:val="00B00722"/>
    <w:rsid w:val="00B6767C"/>
    <w:rsid w:val="00B70BF2"/>
    <w:rsid w:val="00B73250"/>
    <w:rsid w:val="00BB20E3"/>
    <w:rsid w:val="00BB58B7"/>
    <w:rsid w:val="00BD13A3"/>
    <w:rsid w:val="00BE0EE8"/>
    <w:rsid w:val="00BE4E26"/>
    <w:rsid w:val="00BF0CB2"/>
    <w:rsid w:val="00C06F6B"/>
    <w:rsid w:val="00C3038B"/>
    <w:rsid w:val="00C34259"/>
    <w:rsid w:val="00C361BA"/>
    <w:rsid w:val="00C42761"/>
    <w:rsid w:val="00C46F82"/>
    <w:rsid w:val="00C51B25"/>
    <w:rsid w:val="00C56337"/>
    <w:rsid w:val="00C67D66"/>
    <w:rsid w:val="00C835E1"/>
    <w:rsid w:val="00C86861"/>
    <w:rsid w:val="00C9691A"/>
    <w:rsid w:val="00CB3832"/>
    <w:rsid w:val="00CB73F6"/>
    <w:rsid w:val="00CD1A34"/>
    <w:rsid w:val="00CD2F16"/>
    <w:rsid w:val="00CD51E1"/>
    <w:rsid w:val="00D019AF"/>
    <w:rsid w:val="00D07617"/>
    <w:rsid w:val="00D1521F"/>
    <w:rsid w:val="00D16FBB"/>
    <w:rsid w:val="00D24462"/>
    <w:rsid w:val="00D260A3"/>
    <w:rsid w:val="00D3242A"/>
    <w:rsid w:val="00D44CC8"/>
    <w:rsid w:val="00D50DEA"/>
    <w:rsid w:val="00D5425A"/>
    <w:rsid w:val="00D60A2E"/>
    <w:rsid w:val="00D75779"/>
    <w:rsid w:val="00D77B3C"/>
    <w:rsid w:val="00D921FA"/>
    <w:rsid w:val="00D95B6D"/>
    <w:rsid w:val="00D97C8F"/>
    <w:rsid w:val="00DB023D"/>
    <w:rsid w:val="00DC21A2"/>
    <w:rsid w:val="00DD4943"/>
    <w:rsid w:val="00E0064F"/>
    <w:rsid w:val="00E0505C"/>
    <w:rsid w:val="00E13286"/>
    <w:rsid w:val="00E32981"/>
    <w:rsid w:val="00E535DB"/>
    <w:rsid w:val="00E578BD"/>
    <w:rsid w:val="00E75502"/>
    <w:rsid w:val="00E818A1"/>
    <w:rsid w:val="00E86832"/>
    <w:rsid w:val="00EB5D7A"/>
    <w:rsid w:val="00EC7E17"/>
    <w:rsid w:val="00ED6D07"/>
    <w:rsid w:val="00EE1868"/>
    <w:rsid w:val="00EF0ECA"/>
    <w:rsid w:val="00EF2D96"/>
    <w:rsid w:val="00F010AC"/>
    <w:rsid w:val="00F245A3"/>
    <w:rsid w:val="00F356E9"/>
    <w:rsid w:val="00F64726"/>
    <w:rsid w:val="00F71BE2"/>
    <w:rsid w:val="00F868D4"/>
    <w:rsid w:val="00FB2424"/>
    <w:rsid w:val="00FB34CE"/>
    <w:rsid w:val="00FE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3BC9A"/>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2A2"/>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link w:val="a4"/>
    <w:semiHidden/>
    <w:qFormat/>
    <w:rPr>
      <w:rFonts w:ascii="宋体" w:eastAsia="宋体" w:hAnsi="宋体" w:cs="宋体"/>
      <w:sz w:val="24"/>
      <w:szCs w:val="24"/>
    </w:rPr>
  </w:style>
  <w:style w:type="paragraph" w:customStyle="1" w:styleId="TableText">
    <w:name w:val="Table Text"/>
    <w:basedOn w:val="a"/>
    <w:semiHidden/>
    <w:qFormat/>
    <w:rPr>
      <w:rFonts w:ascii="宋体" w:eastAsia="宋体" w:hAnsi="宋体" w:cs="宋体"/>
    </w:rPr>
  </w:style>
  <w:style w:type="paragraph" w:styleId="a5">
    <w:name w:val="header"/>
    <w:basedOn w:val="a"/>
    <w:link w:val="a6"/>
    <w:uiPriority w:val="99"/>
    <w:unhideWhenUsed/>
    <w:rsid w:val="00CB3832"/>
    <w:pPr>
      <w:tabs>
        <w:tab w:val="center" w:pos="4153"/>
        <w:tab w:val="right" w:pos="8306"/>
      </w:tabs>
      <w:jc w:val="center"/>
    </w:pPr>
    <w:rPr>
      <w:sz w:val="18"/>
      <w:szCs w:val="18"/>
    </w:rPr>
  </w:style>
  <w:style w:type="character" w:customStyle="1" w:styleId="a6">
    <w:name w:val="页眉 字符"/>
    <w:basedOn w:val="a0"/>
    <w:link w:val="a5"/>
    <w:uiPriority w:val="99"/>
    <w:rsid w:val="00CB3832"/>
    <w:rPr>
      <w:noProof/>
      <w:sz w:val="18"/>
      <w:szCs w:val="18"/>
    </w:rPr>
  </w:style>
  <w:style w:type="paragraph" w:styleId="a7">
    <w:name w:val="footer"/>
    <w:basedOn w:val="a"/>
    <w:link w:val="a8"/>
    <w:uiPriority w:val="99"/>
    <w:unhideWhenUsed/>
    <w:rsid w:val="00CB3832"/>
    <w:pPr>
      <w:tabs>
        <w:tab w:val="center" w:pos="4153"/>
        <w:tab w:val="right" w:pos="8306"/>
      </w:tabs>
    </w:pPr>
    <w:rPr>
      <w:sz w:val="18"/>
      <w:szCs w:val="18"/>
    </w:rPr>
  </w:style>
  <w:style w:type="character" w:customStyle="1" w:styleId="a8">
    <w:name w:val="页脚 字符"/>
    <w:basedOn w:val="a0"/>
    <w:link w:val="a7"/>
    <w:uiPriority w:val="99"/>
    <w:rsid w:val="00CB3832"/>
    <w:rPr>
      <w:noProof/>
      <w:sz w:val="18"/>
      <w:szCs w:val="18"/>
    </w:rPr>
  </w:style>
  <w:style w:type="character" w:customStyle="1" w:styleId="a4">
    <w:name w:val="正文文本 字符"/>
    <w:basedOn w:val="a0"/>
    <w:link w:val="a3"/>
    <w:semiHidden/>
    <w:rsid w:val="005065F6"/>
    <w:rPr>
      <w:rFonts w:ascii="宋体" w:eastAsia="宋体" w:hAnsi="宋体" w:cs="宋体"/>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证券简称:兴业银行          证券代码:601166         编号:临2011-25</dc:title>
  <dc:creator>魏玮</dc:creator>
  <cp:lastModifiedBy>TN</cp:lastModifiedBy>
  <cp:revision>174</cp:revision>
  <dcterms:created xsi:type="dcterms:W3CDTF">2023-08-02T16:16:00Z</dcterms:created>
  <dcterms:modified xsi:type="dcterms:W3CDTF">2023-08-03T06:04:00Z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2023-07-29T00:08:25Z</vt:filetime>
  </property>
</Properties>
</file>